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18" w:rsidRPr="008061C8" w:rsidRDefault="00805418" w:rsidP="00BE3528">
      <w:pPr>
        <w:pStyle w:val="31"/>
        <w:outlineLvl w:val="0"/>
        <w:rPr>
          <w:rFonts w:eastAsia="Calibri"/>
        </w:rPr>
      </w:pPr>
      <w:r w:rsidRPr="008061C8">
        <w:rPr>
          <w:rFonts w:eastAsia="Calibri"/>
          <w:noProof/>
        </w:rPr>
        <w:t>МБОУ «Платинская ООШ»</w:t>
      </w:r>
      <w:r w:rsidRPr="008061C8">
        <w:rPr>
          <w:rFonts w:eastAsia="Calibri"/>
        </w:rPr>
        <w:t xml:space="preserve">, ИНН </w:t>
      </w:r>
      <w:r w:rsidRPr="008061C8">
        <w:rPr>
          <w:rFonts w:eastAsia="Calibri"/>
          <w:noProof/>
        </w:rPr>
        <w:t>6624007093</w:t>
      </w: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Предмет исследования: Качество условий образовательной деятельности организации на основе общедоступной информации в соответствии с общими критериями, установленными Федеральным законом «Об образовании в Российской Федерации» от 29.12.2012 г. № 273.</w:t>
      </w:r>
    </w:p>
    <w:p w:rsidR="00805418" w:rsidRPr="008061C8" w:rsidRDefault="00805418" w:rsidP="00BE3528">
      <w:pPr>
        <w:spacing w:after="16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Результаты независимой оценки качества образовательной деятельности организации, осуществляющей образовательную деятельность.</w:t>
      </w:r>
    </w:p>
    <w:p w:rsidR="00805418" w:rsidRPr="008061C8" w:rsidRDefault="00805418" w:rsidP="00BE3528">
      <w:pPr>
        <w:numPr>
          <w:ilvl w:val="0"/>
          <w:numId w:val="6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Общее количество опрошенных составляет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чел., из них родители (законные представители) -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чел.; обучающиеся старше 14 лет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</w:t>
      </w: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 ходе проведенной независимой оценки качества условий оказания образовательной деятельности были получены следующие результаты: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805418" w:rsidRPr="008061C8" w:rsidRDefault="00805418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открытости и доступности информации об организациях, осуществляющих образовательную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22,99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805418" w:rsidRPr="008061C8" w:rsidRDefault="00805418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полнота и актуальность информации об организации, осуществляющей образовательную деятельность, размещенной на официальном сайте организации в сети «Интернет» -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8,07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805418" w:rsidRPr="008061C8" w:rsidRDefault="00805418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на официальном сайте организации в сети Интернет сведений о педагогических работниках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7,62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805418" w:rsidRPr="008061C8" w:rsidRDefault="00805418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4,16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805418" w:rsidRPr="008061C8" w:rsidRDefault="00805418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сведений о ходе рассмотрения обращений, поступивших от заинтересованных граждан (по телефону, электронной почте, с помощью электронных сервисов, доступных на официальном сайте организации)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3,14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5418" w:rsidRPr="008061C8" w:rsidRDefault="00805418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комфортности условий, в которых осуществляется образовательная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37,46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 xml:space="preserve"> 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805418" w:rsidRPr="008061C8" w:rsidRDefault="00805418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материально-техническое и информационное обеспечение организации оценивается по результатам анализа материалов самообследования или данных, представленных на сайте образовательной организации в сравнении со средним по городу (региону)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6,11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необходимых условий для охраны и укрепления здоровья, организации питания обучающихся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4,81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условия для индивидуальной работы с обучающимися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6,95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дополнительных образовательных программ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4,72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4,55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оказания обучающимся психолого-педагогической, медицинской и социальной помощи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условий организации обучения и воспитания обучающихся с ограниченными возможностями здоровья и инвалидов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5,52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5418" w:rsidRPr="008061C8" w:rsidRDefault="00805418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доброжелательности, вежливости, компетентности работников,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16,55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805418" w:rsidRPr="008061C8" w:rsidRDefault="00805418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8,1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 –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8,45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5418" w:rsidRPr="008061C8" w:rsidRDefault="00805418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удовлетворенности качеством образовательной деятельности организаций,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22,11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805418" w:rsidRPr="008061C8" w:rsidRDefault="00805418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7,68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805418" w:rsidRPr="008061C8" w:rsidRDefault="00805418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7,53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805418" w:rsidRPr="008061C8" w:rsidRDefault="00805418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5418" w:rsidRPr="008061C8" w:rsidRDefault="00805418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Выводные положения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представляет собой сумму интегральных значений показателей по 4 группам, произведен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F61115F" wp14:editId="29E454F6">
            <wp:simplePos x="0" y="0"/>
            <wp:positionH relativeFrom="column">
              <wp:posOffset>1334135</wp:posOffset>
            </wp:positionH>
            <wp:positionV relativeFrom="paragraph">
              <wp:posOffset>1905</wp:posOffset>
            </wp:positionV>
            <wp:extent cx="1800225" cy="259080"/>
            <wp:effectExtent l="0" t="0" r="0" b="0"/>
            <wp:wrapNone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75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99,11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Среднее (нормированное по числу показателей) значение интегрального показателя рассчитано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79C26FA" wp14:editId="7C9014D7">
            <wp:simplePos x="0" y="0"/>
            <wp:positionH relativeFrom="column">
              <wp:posOffset>1448435</wp:posOffset>
            </wp:positionH>
            <wp:positionV relativeFrom="paragraph">
              <wp:posOffset>111760</wp:posOffset>
            </wp:positionV>
            <wp:extent cx="1732280" cy="194310"/>
            <wp:effectExtent l="0" t="0" r="0" b="1270"/>
            <wp:wrapNone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6,19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805418" w:rsidRPr="008061C8" w:rsidRDefault="00805418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образовательной деятельности соответствует оценке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Хорошо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805418" w:rsidRPr="008061C8" w:rsidRDefault="00805418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Рекомендации для ОО:</w:t>
      </w:r>
    </w:p>
    <w:p w:rsidR="00805418" w:rsidRPr="008061C8" w:rsidRDefault="00805418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состояние официального сайта ОО на прежнем уровне.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актуальную информацию о педагогических работниках на официальном сайте ОО.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повышению доступности взаимодействия ОО с потребителями услуг (гостевая книга, онлайн опросы).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Создать систему взаимодействия с потребителями образовательных услуг. Реализовать прием обращений и информирование о ходе рассмотрения обращений, используя электронную почту, телефон и электронные ресурсы на официальном сайте ОО.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Назначить ответственного за размещение на официальном сайте ОО актутальной информации о материально-техническом и информационном обеспечении образовательного процесса.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Обратить внимание на недостаточный уровень реализации условий охраны и укрепления здоровья обучающихся.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Создать условия для получения образования с применением дистанционных образовательных программ.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Провести анализ запросов участников образовательного процесса для расширения спектра  и повышения качества услуг  дополнительного образования, принять меры по повышению уровня информированности населения об услугах, оказываемых ОО во внеурочное время.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развитию творческих способностей и интересов обучающихся. Формировать мотививацию обучающихся посредством участия в олимпиадах и конкурсах различного уровня.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оказанию различных видов помощи (психолого-педагогической, медицинской и социальной).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созданию  оборудованных пандусов, специализированной мебели, столов, колясок, перил, поручней, специализированного сантехнического оборудования.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 ОО.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работу по повышению компетентности работников ОО.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материально-техническое состояние ОО.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качество предоставляемых образовательных услуг.</w:t>
      </w:r>
    </w:p>
    <w:p w:rsidR="00805418" w:rsidRPr="008061C8" w:rsidRDefault="00805418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805418" w:rsidRPr="008061C8" w:rsidSect="00BE3528">
          <w:footnotePr>
            <w:numRestart w:val="eachPage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образовательную деятельность и качество предоставляемых образовательных услуг для сохранения имиджа ОО.</w:t>
      </w:r>
    </w:p>
    <w:p w:rsidR="00805418" w:rsidRDefault="00805418" w:rsidP="00BE3528"/>
    <w:p w:rsidR="00805418" w:rsidRDefault="00805418" w:rsidP="00BE3528">
      <w:pPr>
        <w:sectPr w:rsidR="008054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693E" w:rsidRDefault="00C5693E"/>
    <w:sectPr w:rsidR="00C56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93E" w:rsidRDefault="00C5693E" w:rsidP="00805418">
      <w:pPr>
        <w:spacing w:after="0" w:line="240" w:lineRule="auto"/>
      </w:pPr>
      <w:r>
        <w:separator/>
      </w:r>
    </w:p>
  </w:endnote>
  <w:endnote w:type="continuationSeparator" w:id="0">
    <w:p w:rsidR="00C5693E" w:rsidRDefault="00C5693E" w:rsidP="0080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93E" w:rsidRDefault="00C5693E" w:rsidP="00805418">
      <w:pPr>
        <w:spacing w:after="0" w:line="240" w:lineRule="auto"/>
      </w:pPr>
      <w:r>
        <w:separator/>
      </w:r>
    </w:p>
  </w:footnote>
  <w:footnote w:type="continuationSeparator" w:id="0">
    <w:p w:rsidR="00C5693E" w:rsidRDefault="00C5693E" w:rsidP="00805418">
      <w:pPr>
        <w:spacing w:after="0" w:line="240" w:lineRule="auto"/>
      </w:pPr>
      <w:r>
        <w:continuationSeparator/>
      </w:r>
    </w:p>
  </w:footnote>
  <w:footnote w:id="1">
    <w:p w:rsidR="00805418" w:rsidRDefault="00805418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  <w:footnote w:id="2">
    <w:p w:rsidR="00805418" w:rsidRDefault="00805418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E6493"/>
    <w:multiLevelType w:val="hybridMultilevel"/>
    <w:tmpl w:val="338C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45C4"/>
    <w:multiLevelType w:val="hybridMultilevel"/>
    <w:tmpl w:val="48344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D3BE3"/>
    <w:multiLevelType w:val="hybridMultilevel"/>
    <w:tmpl w:val="460E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30010"/>
    <w:multiLevelType w:val="hybridMultilevel"/>
    <w:tmpl w:val="0522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E2AE6"/>
    <w:multiLevelType w:val="multilevel"/>
    <w:tmpl w:val="9B8AA0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A346286"/>
    <w:multiLevelType w:val="hybridMultilevel"/>
    <w:tmpl w:val="8876B3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DD0697"/>
    <w:multiLevelType w:val="hybridMultilevel"/>
    <w:tmpl w:val="31B0B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418"/>
    <w:rsid w:val="00805418"/>
    <w:rsid w:val="00C5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805418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80541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05418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805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805418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80541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05418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805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1123</Words>
  <Characters>6405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/>
  <cp:revision>1</cp:revision>
  <dcterms:created xsi:type="dcterms:W3CDTF">2018-07-18T05:35:00Z</dcterms:created>
</cp:coreProperties>
</file>