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640" w:rsidRPr="00C65DD9" w:rsidRDefault="001D4AA5" w:rsidP="007D2640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93B4F" w:rsidRPr="00C65DD9">
        <w:rPr>
          <w:rFonts w:ascii="Times New Roman" w:hAnsi="Times New Roman" w:cs="Times New Roman"/>
          <w:b/>
          <w:i/>
          <w:sz w:val="24"/>
          <w:szCs w:val="24"/>
        </w:rPr>
        <w:t>нализ результат</w:t>
      </w:r>
      <w:r w:rsidR="000D0717"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0A67B0" w:rsidRPr="00C65DD9">
        <w:rPr>
          <w:rFonts w:ascii="Times New Roman" w:hAnsi="Times New Roman" w:cs="Times New Roman"/>
          <w:b/>
          <w:i/>
          <w:sz w:val="24"/>
          <w:szCs w:val="24"/>
        </w:rPr>
        <w:t xml:space="preserve"> Всероссийской Проверочной Работы</w:t>
      </w:r>
      <w:r w:rsidR="007D2640" w:rsidRPr="00C65DD9">
        <w:rPr>
          <w:rFonts w:ascii="Times New Roman" w:hAnsi="Times New Roman" w:cs="Times New Roman"/>
          <w:b/>
          <w:i/>
          <w:sz w:val="24"/>
          <w:szCs w:val="24"/>
        </w:rPr>
        <w:t>. Выявление учебных дефицитов обучающихся</w:t>
      </w:r>
    </w:p>
    <w:p w:rsidR="007D2640" w:rsidRPr="00C65DD9" w:rsidRDefault="007D2640" w:rsidP="00615A6F">
      <w:pPr>
        <w:pStyle w:val="a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65DD9">
        <w:rPr>
          <w:rFonts w:ascii="Times New Roman" w:hAnsi="Times New Roman" w:cs="Times New Roman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C65DD9" w:rsidRDefault="001D4AA5" w:rsidP="000D0717">
      <w:pPr>
        <w:pStyle w:val="a6"/>
        <w:rPr>
          <w:rFonts w:ascii="Times New Roman" w:hAnsi="Times New Roman" w:cs="Times New Roman"/>
          <w:sz w:val="24"/>
          <w:szCs w:val="24"/>
        </w:rPr>
      </w:pPr>
      <w:r w:rsidRPr="00C65DD9">
        <w:rPr>
          <w:rFonts w:ascii="Times New Roman" w:hAnsi="Times New Roman" w:cs="Times New Roman"/>
          <w:sz w:val="24"/>
          <w:szCs w:val="24"/>
        </w:rPr>
        <w:t>Предмет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Русский язык</w:t>
      </w:r>
      <w:r w:rsidR="00D628A6" w:rsidRPr="00C65DD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4C1C44">
        <w:rPr>
          <w:rFonts w:ascii="Times New Roman" w:hAnsi="Times New Roman" w:cs="Times New Roman"/>
          <w:sz w:val="24"/>
          <w:szCs w:val="24"/>
          <w:u w:val="thick"/>
        </w:rPr>
        <w:t>7</w:t>
      </w:r>
    </w:p>
    <w:p w:rsidR="001D4AA5" w:rsidRDefault="001D4AA5" w:rsidP="000D0717">
      <w:pPr>
        <w:pStyle w:val="a6"/>
        <w:rPr>
          <w:rFonts w:ascii="Times New Roman" w:hAnsi="Times New Roman" w:cs="Times New Roman"/>
          <w:sz w:val="24"/>
          <w:szCs w:val="24"/>
          <w:u w:val="thick"/>
        </w:rPr>
      </w:pPr>
      <w:r w:rsidRPr="00C65DD9">
        <w:rPr>
          <w:rFonts w:ascii="Times New Roman" w:hAnsi="Times New Roman" w:cs="Times New Roman"/>
          <w:sz w:val="24"/>
          <w:szCs w:val="24"/>
        </w:rPr>
        <w:t>Учитель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Терехова Лариса Ивановна</w:t>
      </w:r>
    </w:p>
    <w:p w:rsidR="004C1C44" w:rsidRPr="004C1C44" w:rsidRDefault="004C1C44" w:rsidP="000D071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Примечание: проведён анализ только одного ученика 7 класса, остальные учащиеся по причине болезни работу не выполняли.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600"/>
        <w:gridCol w:w="4559"/>
        <w:gridCol w:w="5262"/>
      </w:tblGrid>
      <w:tr w:rsidR="001D4AA5" w:rsidRPr="00C65DD9" w:rsidTr="00D628A6">
        <w:trPr>
          <w:trHeight w:val="143"/>
        </w:trPr>
        <w:tc>
          <w:tcPr>
            <w:tcW w:w="262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275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C65DD9" w:rsidRDefault="001D4AA5" w:rsidP="00C21611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 xml:space="preserve">Результаты анализа по уровням </w:t>
            </w:r>
            <w:r w:rsidR="00D54569" w:rsidRPr="00C65DD9">
              <w:rPr>
                <w:rFonts w:ascii="Times New Roman" w:hAnsi="Times New Roman" w:cs="Times New Roman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C65DD9" w:rsidRDefault="001D4AA5" w:rsidP="00DF7A26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ВЫВОДЫ учителя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Кривая распределения первичных баллов</w:t>
            </w:r>
            <w:r w:rsidR="00C70C96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(ВПР, ОГЭ, ЕГЭ)</w:t>
            </w:r>
          </w:p>
          <w:p w:rsidR="00B425DB" w:rsidRPr="00C65DD9" w:rsidRDefault="00A706C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Гистограмма сравнения оценок с годовыми 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C65DD9" w:rsidRDefault="00A706C2" w:rsidP="00EF445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Сравнение оценок за ВПР с годовыми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C65DD9" w:rsidRDefault="003A571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Резких изменений кривой не наблюдается. Оценки за ВПР в сравнении с годовыми – пониженные.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степень сложности выполненных работ для обучающихся. </w:t>
            </w:r>
          </w:p>
          <w:p w:rsidR="00B425DB" w:rsidRPr="00C65DD9" w:rsidRDefault="00B425DB" w:rsidP="00EF4457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>(ВПР, ОГЭ, ЕГЭ)</w:t>
            </w:r>
          </w:p>
          <w:p w:rsidR="0098638F" w:rsidRPr="00C65DD9" w:rsidRDefault="00B425DB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(ОГЭ, ЕГЭ)</w:t>
            </w:r>
            <w:r w:rsidR="00D54569" w:rsidRPr="00C65D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5DD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>графике решаемости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графике решаемости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678" w:type="dxa"/>
          </w:tcPr>
          <w:p w:rsidR="0007793A" w:rsidRPr="00C65DD9" w:rsidRDefault="004C1C44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смещаются в сторону минимальных баллов.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достижение планируемых </w:t>
            </w: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результатов ООП по учебному предмету;</w:t>
            </w:r>
          </w:p>
          <w:p w:rsidR="00B425DB" w:rsidRPr="00C65DD9" w:rsidRDefault="00B425DB" w:rsidP="007D264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C65DD9" w:rsidRDefault="0076107C" w:rsidP="00761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решаемости, сравнение с «коридором решаемости» (ОГЭ, ЕГЭ),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планируемых результатов,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 ли несоответствия установленном коридору решаемости?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контролируемого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контролируемых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умений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сформированы ниже допустимого уровня?</w:t>
            </w:r>
          </w:p>
          <w:p w:rsidR="00EF4457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типичных затруднений (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дефицитов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613DE0" w:rsidRDefault="004C1C44" w:rsidP="00613DE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Перечень учебных дефицитов:</w:t>
            </w:r>
          </w:p>
          <w:p w:rsidR="004C1C44" w:rsidRPr="004C1C44" w:rsidRDefault="004C1C44" w:rsidP="004C1C44">
            <w:pPr>
              <w:pStyle w:val="a4"/>
              <w:numPr>
                <w:ilvl w:val="0"/>
                <w:numId w:val="16"/>
              </w:numPr>
              <w:jc w:val="both"/>
            </w:pP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распределения первичных баллов</w:t>
            </w:r>
          </w:p>
          <w:p w:rsidR="00A5437C" w:rsidRPr="00C65DD9" w:rsidRDefault="00A5437C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Количество и доля обучающихся в зоне риска по предмету;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C65DD9" w:rsidRDefault="004C1C44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зоне риска по предмету обучающихся нет.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(«2», «3», «4», «5») </w:t>
            </w:r>
          </w:p>
          <w:p w:rsidR="0098638F" w:rsidRPr="00C65DD9" w:rsidRDefault="00BC2D59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Статистика по отметкам в ВПР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C1080E" w:rsidRPr="00C65DD9" w:rsidRDefault="00C1080E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Таблица результатов ВПР</w:t>
            </w:r>
          </w:p>
          <w:p w:rsidR="00B425DB" w:rsidRPr="00C65DD9" w:rsidRDefault="00D54569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Количество и доля обучающихся по уровням подготовки</w:t>
            </w:r>
            <w:r w:rsidR="00BC2D5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метапредметные затруднения типичны для учащихся по разным предметам?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1290"/>
              <w:gridCol w:w="1121"/>
            </w:tblGrid>
            <w:tr w:rsidR="00C65DD9" w:rsidRPr="00C65DD9" w:rsidTr="00C65DD9">
              <w:tc>
                <w:tcPr>
                  <w:tcW w:w="1118" w:type="pct"/>
                </w:tcPr>
                <w:p w:rsidR="00BC2D59" w:rsidRPr="00C65DD9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Уровень </w:t>
                  </w:r>
                  <w:r w:rsidR="00EF4457"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293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Обучающиеся</w:t>
                  </w:r>
                </w:p>
                <w:p w:rsidR="00EF4457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(количество или пофамильно)</w:t>
                  </w:r>
                </w:p>
              </w:tc>
              <w:tc>
                <w:tcPr>
                  <w:tcW w:w="1535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C65DD9" w:rsidRDefault="00C1080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054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293" w:type="pct"/>
                </w:tcPr>
                <w:p w:rsidR="00C65DD9" w:rsidRPr="00C65DD9" w:rsidRDefault="00C65DD9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5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293" w:type="pct"/>
                </w:tcPr>
                <w:p w:rsidR="00C65DD9" w:rsidRPr="00C65DD9" w:rsidRDefault="004C1C44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35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293" w:type="pct"/>
                </w:tcPr>
                <w:p w:rsidR="00C65DD9" w:rsidRPr="00C65DD9" w:rsidRDefault="00C65DD9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5" w:type="pct"/>
                </w:tcPr>
                <w:p w:rsidR="00C65DD9" w:rsidRPr="00C65DD9" w:rsidRDefault="00C65DD9" w:rsidP="00381EE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293" w:type="pct"/>
                </w:tcPr>
                <w:p w:rsidR="00873B9E" w:rsidRPr="00C65DD9" w:rsidRDefault="00873B9E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5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425DB" w:rsidRPr="00C65DD9" w:rsidRDefault="00B425DB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C65DD9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C65DD9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FC6C84"/>
    <w:multiLevelType w:val="hybridMultilevel"/>
    <w:tmpl w:val="E3C6A092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B6D2288"/>
    <w:multiLevelType w:val="hybridMultilevel"/>
    <w:tmpl w:val="5C86031E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B777CB"/>
    <w:multiLevelType w:val="hybridMultilevel"/>
    <w:tmpl w:val="F90E10D6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15"/>
  </w:num>
  <w:num w:numId="10">
    <w:abstractNumId w:val="7"/>
  </w:num>
  <w:num w:numId="11">
    <w:abstractNumId w:val="14"/>
  </w:num>
  <w:num w:numId="12">
    <w:abstractNumId w:val="6"/>
  </w:num>
  <w:num w:numId="13">
    <w:abstractNumId w:val="11"/>
  </w:num>
  <w:num w:numId="14">
    <w:abstractNumId w:val="2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4F"/>
    <w:rsid w:val="0005497C"/>
    <w:rsid w:val="0007793A"/>
    <w:rsid w:val="000A67B0"/>
    <w:rsid w:val="000D0717"/>
    <w:rsid w:val="000E5FD2"/>
    <w:rsid w:val="000F6FDF"/>
    <w:rsid w:val="001D4AA5"/>
    <w:rsid w:val="00285CA3"/>
    <w:rsid w:val="002B205D"/>
    <w:rsid w:val="00302577"/>
    <w:rsid w:val="00351E6E"/>
    <w:rsid w:val="0035536D"/>
    <w:rsid w:val="00381EEF"/>
    <w:rsid w:val="003A5712"/>
    <w:rsid w:val="00470448"/>
    <w:rsid w:val="004C0C8A"/>
    <w:rsid w:val="004C1C44"/>
    <w:rsid w:val="004E20C8"/>
    <w:rsid w:val="0053746B"/>
    <w:rsid w:val="00546CC0"/>
    <w:rsid w:val="005B46F5"/>
    <w:rsid w:val="005C760A"/>
    <w:rsid w:val="005D7161"/>
    <w:rsid w:val="00613DE0"/>
    <w:rsid w:val="00615A6F"/>
    <w:rsid w:val="00670696"/>
    <w:rsid w:val="007248C4"/>
    <w:rsid w:val="0076107C"/>
    <w:rsid w:val="007C50DB"/>
    <w:rsid w:val="007D2640"/>
    <w:rsid w:val="00842289"/>
    <w:rsid w:val="0087216D"/>
    <w:rsid w:val="00873B9E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A08B4"/>
    <w:rsid w:val="00AC543A"/>
    <w:rsid w:val="00B425DB"/>
    <w:rsid w:val="00B50CC8"/>
    <w:rsid w:val="00BA73AA"/>
    <w:rsid w:val="00BC2D59"/>
    <w:rsid w:val="00BE7A84"/>
    <w:rsid w:val="00C1080E"/>
    <w:rsid w:val="00C21611"/>
    <w:rsid w:val="00C65DD9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A0B42"/>
    <w:rsid w:val="00EF4457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882A"/>
  <w15:docId w15:val="{D8325460-4BFC-412D-BBA7-B76DB14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Artyom A</cp:lastModifiedBy>
  <cp:revision>2</cp:revision>
  <dcterms:created xsi:type="dcterms:W3CDTF">2020-12-24T10:19:00Z</dcterms:created>
  <dcterms:modified xsi:type="dcterms:W3CDTF">2020-12-24T10:19:00Z</dcterms:modified>
</cp:coreProperties>
</file>