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</w:t>
      </w:r>
      <w:r w:rsidR="008359C3">
        <w:rPr>
          <w:rFonts w:ascii="Liberation Serif" w:hAnsi="Liberation Serif" w:cs="Liberation Serif"/>
          <w:b/>
          <w:i/>
          <w:sz w:val="24"/>
          <w:szCs w:val="24"/>
        </w:rPr>
        <w:t>всероссийская</w:t>
      </w:r>
      <w:proofErr w:type="spellEnd"/>
      <w:r w:rsidR="008359C3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proofErr w:type="spellStart"/>
      <w:r w:rsidR="008359C3">
        <w:rPr>
          <w:rFonts w:ascii="Liberation Serif" w:hAnsi="Liberation Serif" w:cs="Liberation Serif"/>
          <w:b/>
          <w:i/>
          <w:sz w:val="24"/>
          <w:szCs w:val="24"/>
        </w:rPr>
        <w:t>проверочнвя</w:t>
      </w:r>
      <w:proofErr w:type="spellEnd"/>
      <w:r w:rsidR="008359C3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proofErr w:type="spellStart"/>
      <w:r w:rsidR="008359C3">
        <w:rPr>
          <w:rFonts w:ascii="Liberation Serif" w:hAnsi="Liberation Serif" w:cs="Liberation Serif"/>
          <w:b/>
          <w:i/>
          <w:sz w:val="24"/>
          <w:szCs w:val="24"/>
        </w:rPr>
        <w:t>работа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</w:t>
      </w:r>
      <w:proofErr w:type="spellEnd"/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</w:t>
      </w:r>
      <w:r w:rsidR="008359C3">
        <w:rPr>
          <w:rFonts w:ascii="Liberation Serif" w:hAnsi="Liberation Serif" w:cs="Liberation Serif"/>
          <w:sz w:val="24"/>
          <w:szCs w:val="24"/>
        </w:rPr>
        <w:t>история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__________________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Класс______</w:t>
      </w:r>
      <w:r w:rsidR="008359C3">
        <w:rPr>
          <w:rFonts w:ascii="Liberation Serif" w:hAnsi="Liberation Serif" w:cs="Liberation Serif"/>
          <w:sz w:val="24"/>
          <w:szCs w:val="24"/>
        </w:rPr>
        <w:t>8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 w:rsidRPr="00F442AE">
        <w:rPr>
          <w:rFonts w:ascii="Liberation Serif" w:hAnsi="Liberation Serif" w:cs="Liberation Serif"/>
          <w:sz w:val="24"/>
          <w:szCs w:val="24"/>
        </w:rPr>
        <w:t>Учитель____________________</w:t>
      </w:r>
    </w:p>
    <w:tbl>
      <w:tblPr>
        <w:tblStyle w:val="a3"/>
        <w:tblW w:w="15310" w:type="dxa"/>
        <w:tblInd w:w="-318" w:type="dxa"/>
        <w:tblLook w:val="04A0"/>
      </w:tblPr>
      <w:tblGrid>
        <w:gridCol w:w="2889"/>
        <w:gridCol w:w="2507"/>
        <w:gridCol w:w="4124"/>
        <w:gridCol w:w="5790"/>
      </w:tblGrid>
      <w:tr w:rsidR="001D4AA5" w:rsidRPr="00F442AE" w:rsidTr="004C7D05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507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412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5790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4C7D05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bookmarkStart w:id="0" w:name="_GoBack" w:colFirst="0" w:colLast="0"/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507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412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5790" w:type="dxa"/>
            <w:vAlign w:val="center"/>
          </w:tcPr>
          <w:p w:rsidR="0053217C" w:rsidRDefault="0053217C" w:rsidP="005321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«через порог» не отмечается.</w:t>
            </w:r>
          </w:p>
          <w:p w:rsidR="0053217C" w:rsidRDefault="0053217C" w:rsidP="005321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Но 28,57 %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понизили результат. 71,43 % подтвердили свой результат.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4C7D05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507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24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5790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1F0073" w:rsidP="001F0073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баллам гармоничное. Ситуаций, когда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учащиеся «хорошо» решают сложные задания, но не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решают простые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нет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Выхода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 за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данный доверительный «диапазон» нет Результаты стабильны.</w:t>
            </w:r>
          </w:p>
        </w:tc>
      </w:tr>
      <w:tr w:rsidR="00B425DB" w:rsidRPr="00F442AE" w:rsidTr="004C7D05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</w:t>
            </w: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507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График решаемости, сравнение с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2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5790" w:type="dxa"/>
          </w:tcPr>
          <w:p w:rsidR="00B425DB" w:rsidRPr="008D7AFF" w:rsidRDefault="001F0073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8D7AFF">
              <w:rPr>
                <w:rFonts w:ascii="Times New Roman" w:hAnsi="Times New Roman" w:cs="Times New Roman"/>
                <w:sz w:val="24"/>
                <w:szCs w:val="24"/>
              </w:rPr>
              <w:t xml:space="preserve"> плохо справились или совсем не справились с заданием №7 (28,57 %) № 9 (9,5%),№ 11 </w:t>
            </w:r>
            <w:r w:rsidRPr="008D7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(0)</w:t>
            </w:r>
          </w:p>
          <w:p w:rsidR="001F0073" w:rsidRPr="008D7AFF" w:rsidRDefault="001F0073" w:rsidP="001F00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  <w:p w:rsidR="001F0073" w:rsidRPr="008D7AFF" w:rsidRDefault="001F0073" w:rsidP="001F00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</w:t>
            </w: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  <w:p w:rsidR="001F0073" w:rsidRPr="008D7AFF" w:rsidRDefault="001F0073" w:rsidP="001F00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Умение устанавливать причинно-следственные связи, строить </w:t>
            </w:r>
            <w:proofErr w:type="gramStart"/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логическое рассуждение</w:t>
            </w:r>
            <w:proofErr w:type="gramEnd"/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</w:t>
            </w:r>
            <w:proofErr w:type="gramStart"/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</w:t>
            </w:r>
            <w:proofErr w:type="gramEnd"/>
            <w:r w:rsidRPr="008D7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</w:t>
            </w:r>
          </w:p>
          <w:p w:rsidR="001F0073" w:rsidRPr="008D7AFF" w:rsidRDefault="001F0073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DB" w:rsidRPr="00F442AE" w:rsidTr="004C7D05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507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распределения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412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5790" w:type="dxa"/>
          </w:tcPr>
          <w:p w:rsidR="00B425DB" w:rsidRPr="00F442AE" w:rsidRDefault="00845D6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зоне риска по истории 1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(14 %). Наблюдается положительная динамика.</w:t>
            </w:r>
          </w:p>
        </w:tc>
      </w:tr>
      <w:tr w:rsidR="00B425DB" w:rsidRPr="00F442AE" w:rsidTr="004C7D05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507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412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790" w:type="dxa"/>
          </w:tcPr>
          <w:tbl>
            <w:tblPr>
              <w:tblStyle w:val="a3"/>
              <w:tblW w:w="5000" w:type="pct"/>
              <w:tblLook w:val="04A0"/>
            </w:tblPr>
            <w:tblGrid>
              <w:gridCol w:w="1193"/>
              <w:gridCol w:w="1432"/>
              <w:gridCol w:w="1409"/>
              <w:gridCol w:w="1530"/>
            </w:tblGrid>
            <w:tr w:rsidR="004C7D05" w:rsidRPr="00F442AE" w:rsidTr="00EC6E6C">
              <w:tc>
                <w:tcPr>
                  <w:tcW w:w="107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287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66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375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4C7D05" w:rsidRPr="00F442AE" w:rsidTr="00EC6E6C">
              <w:tc>
                <w:tcPr>
                  <w:tcW w:w="107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287" w:type="pct"/>
                </w:tcPr>
                <w:p w:rsidR="00BC2D59" w:rsidRPr="00F442AE" w:rsidRDefault="00EC6E6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66" w:type="pct"/>
                </w:tcPr>
                <w:p w:rsidR="00845D67" w:rsidRPr="003D3BF1" w:rsidRDefault="00845D67" w:rsidP="00845D6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375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4C7D05" w:rsidRPr="00F442AE" w:rsidTr="00EC6E6C">
              <w:tc>
                <w:tcPr>
                  <w:tcW w:w="107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287" w:type="pct"/>
                </w:tcPr>
                <w:p w:rsidR="00BC2D59" w:rsidRPr="00F442AE" w:rsidRDefault="00845D6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 обучающихся (42%)</w:t>
                  </w:r>
                </w:p>
              </w:tc>
              <w:tc>
                <w:tcPr>
                  <w:tcW w:w="1266" w:type="pct"/>
                </w:tcPr>
                <w:p w:rsidR="00EC6E6C" w:rsidRPr="00EC6E6C" w:rsidRDefault="00EC6E6C" w:rsidP="00EC6E6C">
                  <w:pPr>
                    <w:jc w:val="both"/>
                    <w:rPr>
                      <w:rFonts w:ascii="TimesNewRoman" w:hAnsi="TimesNewRoman" w:cs="TimesNewRoman"/>
                      <w:sz w:val="18"/>
                      <w:szCs w:val="18"/>
                    </w:rPr>
                  </w:pPr>
                  <w:r w:rsidRPr="00EC6E6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Знание памятников культуры</w:t>
                  </w:r>
                  <w:proofErr w:type="gramStart"/>
                  <w:r w:rsidR="00845D67" w:rsidRPr="00EC6E6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EC6E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gramEnd"/>
                </w:p>
                <w:p w:rsidR="00845D67" w:rsidRPr="00EC6E6C" w:rsidRDefault="00EC6E6C" w:rsidP="00EC6E6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NewRoman" w:hAnsi="TimesNewRoman" w:cs="TimesNewRoman"/>
                      <w:sz w:val="18"/>
                      <w:szCs w:val="18"/>
                    </w:rPr>
                  </w:pPr>
                  <w:r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 xml:space="preserve"> З</w:t>
                  </w:r>
                  <w:r w:rsidR="00845D67"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 xml:space="preserve">нание хронологии и умение отбирать исторические факты в соответствии с заданным контекстом. </w:t>
                  </w:r>
                </w:p>
                <w:p w:rsidR="00845D67" w:rsidRPr="00EC6E6C" w:rsidRDefault="00EC6E6C" w:rsidP="00845D6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NewRoman" w:hAnsi="TimesNewRoman" w:cs="TimesNewRoman"/>
                      <w:sz w:val="18"/>
                      <w:szCs w:val="18"/>
                    </w:rPr>
                  </w:pPr>
                  <w:r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>З</w:t>
                  </w:r>
                  <w:r w:rsidR="00845D67"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>нание причин и следствий и умение формулировать положения, содержащие причинно-следственные связи.</w:t>
                  </w:r>
                </w:p>
                <w:p w:rsidR="00845D67" w:rsidRPr="00EC6E6C" w:rsidRDefault="00845D67" w:rsidP="00845D6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NewRoman" w:hAnsi="TimesNewRoman" w:cs="TimesNewRoman"/>
                      <w:sz w:val="18"/>
                      <w:szCs w:val="18"/>
                    </w:rPr>
                  </w:pPr>
                </w:p>
                <w:p w:rsidR="00845D67" w:rsidRPr="003D3BF1" w:rsidRDefault="00845D67" w:rsidP="00845D6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375" w:type="pct"/>
                </w:tcPr>
                <w:p w:rsidR="00EC6E6C" w:rsidRDefault="00EC6E6C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.Продолжить формирование умений и навыков определять исторические термины и давать им исчерпывающие, точные определения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EC6E6C" w:rsidRDefault="00EC6E6C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Способствовать формированию умений выделять главное в тексте, составлять грамотный письменный ответ на вопрос.</w:t>
                  </w:r>
                </w:p>
                <w:p w:rsidR="004C7D05" w:rsidRPr="004C7D05" w:rsidRDefault="004C7D05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C7D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Нацелить учащихся на запоминание исторических терминов, дат, персоналий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C7D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 использованием</w:t>
                  </w:r>
                </w:p>
                <w:p w:rsidR="00EC6E6C" w:rsidRPr="004C7D05" w:rsidRDefault="004C7D05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C7D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викторин, ребусов, кроссвордов, </w:t>
                  </w:r>
                  <w:proofErr w:type="spellStart"/>
                  <w:r w:rsidRPr="004C7D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синквейнов</w:t>
                  </w:r>
                  <w:proofErr w:type="spellEnd"/>
                  <w:r w:rsidRPr="004C7D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  <w:p w:rsidR="00EC6E6C" w:rsidRPr="00847ACA" w:rsidRDefault="00EC6E6C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4C7D05" w:rsidRPr="00F442AE" w:rsidTr="00EC6E6C">
              <w:tc>
                <w:tcPr>
                  <w:tcW w:w="107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«4»</w:t>
                  </w:r>
                </w:p>
              </w:tc>
              <w:tc>
                <w:tcPr>
                  <w:tcW w:w="1287" w:type="pct"/>
                </w:tcPr>
                <w:p w:rsidR="00BC2D59" w:rsidRPr="00F442AE" w:rsidRDefault="00EC6E6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4 обучающихся (58%)</w:t>
                  </w:r>
                </w:p>
              </w:tc>
              <w:tc>
                <w:tcPr>
                  <w:tcW w:w="1266" w:type="pct"/>
                </w:tcPr>
                <w:p w:rsidR="00BC2D59" w:rsidRPr="00EC6E6C" w:rsidRDefault="00EC6E6C" w:rsidP="00EF4457">
                  <w:pPr>
                    <w:jc w:val="both"/>
                    <w:rPr>
                      <w:rFonts w:ascii="TimesNewRoman" w:hAnsi="TimesNewRoman" w:cs="TimesNewRoman"/>
                      <w:sz w:val="18"/>
                      <w:szCs w:val="18"/>
                    </w:rPr>
                  </w:pPr>
                  <w:r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>Владение простейшими приёмами аргументации.</w:t>
                  </w:r>
                </w:p>
                <w:p w:rsidR="00EC6E6C" w:rsidRPr="00F442AE" w:rsidRDefault="00EC6E6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EC6E6C">
                    <w:rPr>
                      <w:rFonts w:ascii="TimesNewRoman" w:hAnsi="TimesNewRoman" w:cs="TimesNewRoman"/>
                      <w:sz w:val="18"/>
                      <w:szCs w:val="18"/>
                    </w:rPr>
                    <w:t>знание причин и следствий и умение формулировать положения, содержащие причинно-следственные связи</w:t>
                  </w:r>
                </w:p>
              </w:tc>
              <w:tc>
                <w:tcPr>
                  <w:tcW w:w="1375" w:type="pct"/>
                </w:tcPr>
                <w:p w:rsidR="00EC6E6C" w:rsidRPr="00847ACA" w:rsidRDefault="00EC6E6C" w:rsidP="00EC6E6C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Использовать на уроках чаще тестовый материал с повышенным уровнем сложности с целью развития навыков и умений работать с тестовыми заданиями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C2D59" w:rsidRPr="00F442AE" w:rsidRDefault="00EC6E6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Продолжить работу по развитию умений работать с учебным материалом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4C7D05" w:rsidRPr="00F442AE" w:rsidTr="00EC6E6C">
              <w:tc>
                <w:tcPr>
                  <w:tcW w:w="107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287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66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375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0"/>
    </w:tbl>
    <w:p w:rsidR="004C7D05" w:rsidRDefault="004C7D05" w:rsidP="00845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5D67" w:rsidRDefault="00845D67" w:rsidP="00845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3BF1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 xml:space="preserve">  деятелей  истории  России  и </w:t>
      </w:r>
      <w:r w:rsidRPr="003D3BF1">
        <w:rPr>
          <w:rFonts w:ascii="Times New Roman" w:hAnsi="Times New Roman" w:cs="Times New Roman"/>
          <w:sz w:val="24"/>
          <w:szCs w:val="24"/>
        </w:rPr>
        <w:t>истории  зарубежных  стран (обучающийся  дол</w:t>
      </w:r>
      <w:r>
        <w:rPr>
          <w:rFonts w:ascii="Times New Roman" w:hAnsi="Times New Roman" w:cs="Times New Roman"/>
          <w:sz w:val="24"/>
          <w:szCs w:val="24"/>
        </w:rPr>
        <w:t xml:space="preserve">жен  соотнести  события  и  их участников); умения  проводить  атрибуцию </w:t>
      </w:r>
      <w:r w:rsidRPr="003D3BF1">
        <w:rPr>
          <w:rFonts w:ascii="Times New Roman" w:hAnsi="Times New Roman" w:cs="Times New Roman"/>
          <w:sz w:val="24"/>
          <w:szCs w:val="24"/>
        </w:rPr>
        <w:t>исторической карты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D3BF1">
        <w:rPr>
          <w:rFonts w:ascii="Times New Roman" w:hAnsi="Times New Roman" w:cs="Times New 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знание причин и следствий и умение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формулировать положения, содержащие причинно-следственные связи</w:t>
      </w:r>
      <w:r w:rsidR="004C7D05">
        <w:rPr>
          <w:rFonts w:ascii="Times New Roman" w:hAnsi="Times New Roman" w:cs="Times New Roman"/>
          <w:sz w:val="24"/>
          <w:szCs w:val="24"/>
        </w:rPr>
        <w:t>, знание памятников культуры.</w:t>
      </w:r>
    </w:p>
    <w:p w:rsidR="004C7D05" w:rsidRDefault="004C7D05" w:rsidP="00845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18" w:type="dxa"/>
        <w:tblLook w:val="04A0"/>
      </w:tblPr>
      <w:tblGrid>
        <w:gridCol w:w="1479"/>
        <w:gridCol w:w="2258"/>
        <w:gridCol w:w="2802"/>
        <w:gridCol w:w="909"/>
        <w:gridCol w:w="909"/>
        <w:gridCol w:w="1135"/>
        <w:gridCol w:w="1137"/>
        <w:gridCol w:w="2681"/>
        <w:gridCol w:w="2000"/>
      </w:tblGrid>
      <w:tr w:rsidR="004C7D05" w:rsidRPr="00847ACA" w:rsidTr="004C7D05">
        <w:tc>
          <w:tcPr>
            <w:tcW w:w="147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8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2802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90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2000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4C7D05" w:rsidRPr="00847ACA" w:rsidTr="004C7D05">
        <w:tc>
          <w:tcPr>
            <w:tcW w:w="147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1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00" w:type="dxa"/>
          </w:tcPr>
          <w:p w:rsidR="004C7D05" w:rsidRPr="00847ACA" w:rsidRDefault="004C7D05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58 %</w:t>
            </w:r>
          </w:p>
        </w:tc>
      </w:tr>
    </w:tbl>
    <w:p w:rsidR="00845D67" w:rsidRDefault="00845D67" w:rsidP="00845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13C" w:rsidRDefault="0051213C" w:rsidP="0051213C">
      <w:p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показал, что 100% обучающихся справились с работой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Качество выполняемых работ 58%.Наибольшое затруднение вызвали задания </w:t>
      </w:r>
      <w:r w:rsidRPr="0051213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 з</w:t>
      </w:r>
      <w:r w:rsidRPr="0051213C">
        <w:rPr>
          <w:rFonts w:ascii="Times New Roman" w:hAnsi="Times New Roman" w:cs="Times New Roman"/>
          <w:sz w:val="24"/>
          <w:szCs w:val="24"/>
        </w:rPr>
        <w:t>нание памятников культуры</w:t>
      </w:r>
      <w:proofErr w:type="gramStart"/>
      <w:r w:rsidRPr="005121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NewRoman" w:hAnsi="TimesNewRoman" w:cs="TimesNewRoman"/>
          <w:sz w:val="24"/>
          <w:szCs w:val="24"/>
        </w:rPr>
        <w:t>з</w:t>
      </w:r>
      <w:r w:rsidRPr="0051213C">
        <w:rPr>
          <w:rFonts w:ascii="TimesNewRoman" w:hAnsi="TimesNewRoman" w:cs="TimesNewRoman"/>
          <w:sz w:val="24"/>
          <w:szCs w:val="24"/>
        </w:rPr>
        <w:t>нание хронологии и умение отбирать исторические факты в соо</w:t>
      </w:r>
      <w:r>
        <w:rPr>
          <w:rFonts w:ascii="TimesNewRoman" w:hAnsi="TimesNewRoman" w:cs="TimesNewRoman"/>
          <w:sz w:val="24"/>
          <w:szCs w:val="24"/>
        </w:rPr>
        <w:t>тветствии с заданным контекстом,</w:t>
      </w:r>
      <w:r w:rsidRPr="0051213C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з</w:t>
      </w:r>
      <w:r w:rsidRPr="0051213C">
        <w:rPr>
          <w:rFonts w:ascii="TimesNewRoman" w:hAnsi="TimesNewRoman" w:cs="TimesNewRoman"/>
          <w:sz w:val="24"/>
          <w:szCs w:val="24"/>
        </w:rPr>
        <w:t>нание причин и следствий и умение формулировать положения, содержа</w:t>
      </w:r>
      <w:r>
        <w:rPr>
          <w:rFonts w:ascii="TimesNewRoman" w:hAnsi="TimesNewRoman" w:cs="TimesNewRoman"/>
          <w:sz w:val="24"/>
          <w:szCs w:val="24"/>
        </w:rPr>
        <w:t>щие причинно-следственные связи,</w:t>
      </w:r>
      <w:r w:rsidRPr="0051213C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в</w:t>
      </w:r>
      <w:r w:rsidRPr="0051213C">
        <w:rPr>
          <w:rFonts w:ascii="TimesNewRoman" w:hAnsi="TimesNewRoman" w:cs="TimesNewRoman"/>
          <w:sz w:val="24"/>
          <w:szCs w:val="24"/>
        </w:rPr>
        <w:t>ладение простейшими приёмами аргументации</w:t>
      </w:r>
      <w:r>
        <w:rPr>
          <w:rFonts w:ascii="TimesNewRoman" w:hAnsi="TimesNewRoman" w:cs="TimesNewRoman"/>
          <w:sz w:val="24"/>
          <w:szCs w:val="24"/>
        </w:rPr>
        <w:t>. Процент выполнения этих заданий значительно ниже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 ,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чем по </w:t>
      </w:r>
      <w:proofErr w:type="spellStart"/>
      <w:r>
        <w:rPr>
          <w:rFonts w:ascii="TimesNewRoman" w:hAnsi="TimesNewRoman" w:cs="TimesNewRoman"/>
          <w:sz w:val="24"/>
          <w:szCs w:val="24"/>
        </w:rPr>
        <w:t>Нижнетуринскому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району и Свердловской области.</w:t>
      </w:r>
    </w:p>
    <w:p w:rsidR="00362C9D" w:rsidRDefault="00362C9D" w:rsidP="00362C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8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хорошо владеют 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7626CE">
        <w:rPr>
          <w:rFonts w:ascii="Calibri" w:eastAsia="Times New Roman" w:hAnsi="Calibri" w:cs="Calibri"/>
          <w:color w:val="000000"/>
        </w:rPr>
        <w:br/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Умеют  определять понятия, создавать обобщения, устанавливать аналогии,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классифицировать.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B7C6B" w:rsidRPr="00362C9D" w:rsidRDefault="00362C9D" w:rsidP="00DB7C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</w:t>
      </w:r>
      <w:r w:rsidR="00DB7C6B" w:rsidRPr="00DB7C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2C9D" w:rsidRPr="00362C9D" w:rsidRDefault="00362C9D" w:rsidP="00DB7C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Умеют</w:t>
      </w:r>
      <w:r w:rsidR="00DB7C6B" w:rsidRPr="00DB7C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</w:t>
      </w:r>
      <w:r w:rsidRP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сферах.</w:t>
      </w:r>
      <w:r w:rsidR="00DB7C6B" w:rsidRPr="00DB7C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B7C6B" w:rsidRPr="00362C9D" w:rsidRDefault="00DB7C6B" w:rsidP="00DB7C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7C6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  <w:r w:rsid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Процент выполнения вышеперечисленных заданий гораздо выше</w:t>
      </w:r>
      <w:proofErr w:type="gramStart"/>
      <w:r w:rsid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в </w:t>
      </w:r>
      <w:proofErr w:type="spellStart"/>
      <w:r w:rsid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>Нижнетуринском</w:t>
      </w:r>
      <w:proofErr w:type="spellEnd"/>
      <w:r w:rsidR="00362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 и в Свердловской области.</w:t>
      </w:r>
    </w:p>
    <w:p w:rsidR="0051213C" w:rsidRPr="00362C9D" w:rsidRDefault="0051213C" w:rsidP="00845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213C" w:rsidRPr="00362C9D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41E3CBF"/>
    <w:multiLevelType w:val="hybridMultilevel"/>
    <w:tmpl w:val="6D165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13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3B4F"/>
    <w:rsid w:val="0005497C"/>
    <w:rsid w:val="000D0717"/>
    <w:rsid w:val="000E5FD2"/>
    <w:rsid w:val="000F6FDF"/>
    <w:rsid w:val="001D4AA5"/>
    <w:rsid w:val="001F0073"/>
    <w:rsid w:val="002B205D"/>
    <w:rsid w:val="00302577"/>
    <w:rsid w:val="00351E6E"/>
    <w:rsid w:val="0035536D"/>
    <w:rsid w:val="00362C9D"/>
    <w:rsid w:val="00470448"/>
    <w:rsid w:val="004C0C8A"/>
    <w:rsid w:val="004C7D05"/>
    <w:rsid w:val="0051213C"/>
    <w:rsid w:val="0053217C"/>
    <w:rsid w:val="00546CC0"/>
    <w:rsid w:val="005B46F5"/>
    <w:rsid w:val="005C760A"/>
    <w:rsid w:val="005D7161"/>
    <w:rsid w:val="00615A6F"/>
    <w:rsid w:val="00670696"/>
    <w:rsid w:val="007248C4"/>
    <w:rsid w:val="0076107C"/>
    <w:rsid w:val="00766CE7"/>
    <w:rsid w:val="007B2203"/>
    <w:rsid w:val="007C50DB"/>
    <w:rsid w:val="007D2640"/>
    <w:rsid w:val="008359C3"/>
    <w:rsid w:val="00845D67"/>
    <w:rsid w:val="0087216D"/>
    <w:rsid w:val="008C171C"/>
    <w:rsid w:val="008D7AFF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B7C6B"/>
    <w:rsid w:val="00DD58FB"/>
    <w:rsid w:val="00E00E59"/>
    <w:rsid w:val="00EC6E6C"/>
    <w:rsid w:val="00EF4457"/>
    <w:rsid w:val="00F442AE"/>
    <w:rsid w:val="00F874E8"/>
    <w:rsid w:val="00FD4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6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E3D87-33F2-4EFB-B9A5-3841084E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Анатолий Шмаков</cp:lastModifiedBy>
  <cp:revision>2</cp:revision>
  <dcterms:created xsi:type="dcterms:W3CDTF">2020-11-28T08:35:00Z</dcterms:created>
  <dcterms:modified xsi:type="dcterms:W3CDTF">2020-11-28T08:35:00Z</dcterms:modified>
</cp:coreProperties>
</file>