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нализ 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E969BD"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</w:t>
      </w:r>
      <w:r w:rsidR="008264C3" w:rsidRPr="008264C3">
        <w:rPr>
          <w:rFonts w:ascii="Liberation Serif" w:hAnsi="Liberation Serif" w:cs="Liberation Serif"/>
          <w:b/>
          <w:i/>
          <w:sz w:val="24"/>
          <w:szCs w:val="24"/>
          <w:u w:val="single"/>
        </w:rPr>
        <w:t>ВПР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Предмет___</w:t>
      </w:r>
      <w:r w:rsidR="00AB2B3D">
        <w:rPr>
          <w:rFonts w:ascii="Liberation Serif" w:hAnsi="Liberation Serif" w:cs="Liberation Serif"/>
          <w:sz w:val="24"/>
          <w:szCs w:val="24"/>
          <w:u w:val="single"/>
        </w:rPr>
        <w:t>ХИМИЯ</w:t>
      </w:r>
      <w:proofErr w:type="spellEnd"/>
      <w:r w:rsidRPr="00F442AE">
        <w:rPr>
          <w:rFonts w:ascii="Liberation Serif" w:hAnsi="Liberation Serif" w:cs="Liberation Serif"/>
          <w:sz w:val="24"/>
          <w:szCs w:val="24"/>
        </w:rPr>
        <w:t>_____</w:t>
      </w:r>
      <w:r w:rsidR="00D628A6" w:rsidRPr="00F442AE">
        <w:rPr>
          <w:rFonts w:ascii="Liberation Serif" w:hAnsi="Liberation Serif" w:cs="Liberation Serif"/>
          <w:sz w:val="24"/>
          <w:szCs w:val="24"/>
        </w:rPr>
        <w:t xml:space="preserve"> Класс___</w:t>
      </w:r>
      <w:r w:rsidR="0088624A">
        <w:rPr>
          <w:rFonts w:ascii="Liberation Serif" w:hAnsi="Liberation Serif" w:cs="Liberation Serif"/>
          <w:sz w:val="24"/>
          <w:szCs w:val="24"/>
          <w:u w:val="single"/>
        </w:rPr>
        <w:t>9</w:t>
      </w:r>
      <w:r w:rsidR="00D628A6" w:rsidRPr="00F442AE">
        <w:rPr>
          <w:rFonts w:ascii="Liberation Serif" w:hAnsi="Liberation Serif" w:cs="Liberation Serif"/>
          <w:sz w:val="24"/>
          <w:szCs w:val="24"/>
        </w:rPr>
        <w:t>__________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Учитель____</w:t>
      </w:r>
      <w:r w:rsidR="00AC279C">
        <w:rPr>
          <w:rFonts w:ascii="Liberation Serif" w:hAnsi="Liberation Serif" w:cs="Liberation Serif"/>
          <w:sz w:val="24"/>
          <w:szCs w:val="24"/>
          <w:u w:val="single"/>
        </w:rPr>
        <w:t>Доценко</w:t>
      </w:r>
      <w:proofErr w:type="spellEnd"/>
      <w:r w:rsidR="00AC279C">
        <w:rPr>
          <w:rFonts w:ascii="Liberation Serif" w:hAnsi="Liberation Serif" w:cs="Liberation Serif"/>
          <w:sz w:val="24"/>
          <w:szCs w:val="24"/>
          <w:u w:val="single"/>
        </w:rPr>
        <w:t xml:space="preserve"> В.Н</w:t>
      </w:r>
      <w:r w:rsidR="008264C3">
        <w:rPr>
          <w:rFonts w:ascii="Liberation Serif" w:hAnsi="Liberation Serif" w:cs="Liberation Serif"/>
          <w:sz w:val="24"/>
          <w:szCs w:val="24"/>
          <w:u w:val="single"/>
        </w:rPr>
        <w:t>.</w:t>
      </w:r>
      <w:r w:rsidRPr="00F442AE">
        <w:rPr>
          <w:rFonts w:ascii="Liberation Serif" w:hAnsi="Liberation Serif" w:cs="Liberation Serif"/>
          <w:sz w:val="24"/>
          <w:szCs w:val="24"/>
        </w:rPr>
        <w:t>____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731"/>
        <w:gridCol w:w="6146"/>
        <w:gridCol w:w="3544"/>
      </w:tblGrid>
      <w:tr w:rsidR="001D4AA5" w:rsidRPr="00F442AE" w:rsidTr="00E969BD">
        <w:trPr>
          <w:trHeight w:val="143"/>
        </w:trPr>
        <w:tc>
          <w:tcPr>
            <w:tcW w:w="288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731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6146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3544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E969BD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6146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3544" w:type="dxa"/>
          </w:tcPr>
          <w:p w:rsidR="00B425DB" w:rsidRDefault="008264C3" w:rsidP="00E81EE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Резких изменений кривой распределения первичных баллов не наблюдается.</w:t>
            </w:r>
          </w:p>
          <w:p w:rsidR="008264C3" w:rsidRPr="00F442AE" w:rsidRDefault="00430CF7" w:rsidP="00AB2B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="008264C3">
              <w:rPr>
                <w:rFonts w:ascii="Liberation Serif" w:hAnsi="Liberation Serif" w:cs="Liberation Serif"/>
                <w:sz w:val="24"/>
                <w:szCs w:val="24"/>
              </w:rPr>
              <w:t xml:space="preserve">одтвердили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отметку </w:t>
            </w:r>
            <w:r w:rsidR="00AB2B3D">
              <w:rPr>
                <w:rFonts w:ascii="Liberation Serif" w:hAnsi="Liberation Serif" w:cs="Liberation Serif"/>
                <w:sz w:val="24"/>
                <w:szCs w:val="24"/>
              </w:rPr>
              <w:t>66,67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  <w:r w:rsidR="00AB2B3D">
              <w:rPr>
                <w:rFonts w:ascii="Liberation Serif" w:hAnsi="Liberation Serif" w:cs="Liberation Serif"/>
                <w:sz w:val="24"/>
                <w:szCs w:val="24"/>
              </w:rPr>
              <w:t>, повысили 33,33%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B425DB" w:rsidRPr="00F442AE" w:rsidTr="00E969BD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proofErr w:type="gramStart"/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proofErr w:type="gramEnd"/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остижение планируемых результатов, выполнение заданий (для ВПР)</w:t>
            </w:r>
            <w:bookmarkStart w:id="0" w:name="_GoBack"/>
            <w:bookmarkEnd w:id="0"/>
          </w:p>
        </w:tc>
        <w:tc>
          <w:tcPr>
            <w:tcW w:w="6146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3544" w:type="dxa"/>
          </w:tcPr>
          <w:p w:rsidR="00597D99" w:rsidRDefault="008264C3" w:rsidP="00E81EE8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Распределение по первичным баллам </w:t>
            </w:r>
            <w:r w:rsidR="00AB2B3D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гармоничн</w:t>
            </w:r>
            <w:r w:rsidR="00AB2B3D">
              <w:rPr>
                <w:rFonts w:ascii="Liberation Serif" w:hAnsi="Liberation Serif" w:cs="Liberation Serif"/>
                <w:sz w:val="24"/>
                <w:szCs w:val="24"/>
              </w:rPr>
              <w:t>ым, хорошие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результаты. </w:t>
            </w:r>
            <w:r w:rsidR="00597D99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выполнения работы </w:t>
            </w:r>
            <w:r w:rsidR="00AB2B3D">
              <w:rPr>
                <w:rFonts w:ascii="Liberation Serif" w:hAnsi="Liberation Serif" w:cs="Liberation Serif"/>
                <w:sz w:val="24"/>
                <w:szCs w:val="24"/>
              </w:rPr>
              <w:t>66,67</w:t>
            </w:r>
            <w:r w:rsidR="00597D99">
              <w:rPr>
                <w:rFonts w:ascii="Liberation Serif" w:hAnsi="Liberation Serif" w:cs="Liberation Serif"/>
                <w:sz w:val="24"/>
                <w:szCs w:val="24"/>
              </w:rPr>
              <w:t xml:space="preserve">%. </w:t>
            </w:r>
          </w:p>
          <w:p w:rsidR="00B425DB" w:rsidRPr="00F442AE" w:rsidRDefault="002D7AA5" w:rsidP="00AB2B3D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Задания </w:t>
            </w:r>
            <w:r w:rsidR="00AB2B3D">
              <w:rPr>
                <w:rFonts w:ascii="Liberation Serif" w:hAnsi="Liberation Serif" w:cs="Liberation Serif"/>
                <w:sz w:val="24"/>
                <w:szCs w:val="24"/>
              </w:rPr>
              <w:t>1, 5, 6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выполнены всеми участниками ВПР на 100%.</w:t>
            </w:r>
          </w:p>
        </w:tc>
      </w:tr>
      <w:tr w:rsidR="00B425DB" w:rsidRPr="00F442AE" w:rsidTr="00E969BD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31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 (ОГЭ, ЕГЭ),</w:t>
            </w:r>
            <w:r w:rsidR="0072646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146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3544" w:type="dxa"/>
          </w:tcPr>
          <w:p w:rsidR="00726464" w:rsidRPr="00430CF7" w:rsidRDefault="00430CF7" w:rsidP="00AB2B3D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30CF7">
              <w:rPr>
                <w:rFonts w:ascii="Liberation Serif" w:hAnsi="Liberation Serif" w:cs="Liberation Serif"/>
                <w:sz w:val="24"/>
                <w:szCs w:val="24"/>
              </w:rPr>
              <w:t>Выявлено несоответствие коридору решаемости в заданиях</w:t>
            </w:r>
            <w:r w:rsidR="00AB2B3D">
              <w:rPr>
                <w:rFonts w:ascii="Liberation Serif" w:hAnsi="Liberation Serif" w:cs="Liberation Serif"/>
                <w:sz w:val="24"/>
                <w:szCs w:val="24"/>
              </w:rPr>
              <w:t>: лучше выполнили задания 1, 7.1, 5 и 6, хуже справились с заданиями 2.2 и 4.4.</w:t>
            </w:r>
          </w:p>
        </w:tc>
      </w:tr>
      <w:tr w:rsidR="00B425DB" w:rsidRPr="00F442AE" w:rsidTr="00E969BD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6146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3544" w:type="dxa"/>
          </w:tcPr>
          <w:p w:rsidR="00B425DB" w:rsidRPr="00597D99" w:rsidRDefault="00597D99" w:rsidP="00AB2B3D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Средний пер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ичный балл </w:t>
            </w:r>
            <w:r w:rsidR="00AB2B3D">
              <w:rPr>
                <w:rFonts w:ascii="Liberation Serif" w:hAnsi="Liberation Serif" w:cs="Liberation Serif"/>
                <w:sz w:val="24"/>
                <w:szCs w:val="24"/>
              </w:rPr>
              <w:t>24,3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, по сравнению с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классом (прошлый год) динамика 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не изменилась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, положительну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тметку за ВПР име</w:t>
            </w:r>
            <w:r w:rsidR="00421054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т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обучающи</w:t>
            </w:r>
            <w:r w:rsidR="0042105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ся</w:t>
            </w:r>
            <w:proofErr w:type="gramEnd"/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B425DB" w:rsidRPr="00F442AE" w:rsidTr="00E969BD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Статистика по отметкам в 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AB2B3D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6146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25DB" w:rsidRDefault="002D7AA5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«4» - </w:t>
            </w:r>
            <w:r w:rsidR="00AB2B3D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  <w:r w:rsidR="00E969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F66960" w:rsidRDefault="00F66960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Учебные дефициты выявлены у групп</w:t>
            </w:r>
            <w:r w:rsidR="00AB2B3D"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участников: </w:t>
            </w:r>
          </w:p>
          <w:p w:rsidR="002D7AA5" w:rsidRDefault="00AB2B3D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 xml:space="preserve">«4» - задания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выполненных на 0% нет,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33,3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 xml:space="preserve"> - зад</w:t>
            </w:r>
            <w:r w:rsidR="00F66960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3.1, 4.4 и 7.3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2D7AA5" w:rsidRPr="00424C67" w:rsidRDefault="002D7AA5" w:rsidP="00D54569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</w:tr>
      <w:tr w:rsidR="00F94D9E" w:rsidRPr="00F94D9E" w:rsidTr="00E969BD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подготовки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(количество или </w:t>
            </w:r>
            <w:proofErr w:type="spellStart"/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пофамильно</w:t>
            </w:r>
            <w:proofErr w:type="spellEnd"/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146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затруднений</w:t>
            </w:r>
          </w:p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(учебные дефициты)</w:t>
            </w:r>
          </w:p>
        </w:tc>
        <w:tc>
          <w:tcPr>
            <w:tcW w:w="3544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Меры коррекции</w:t>
            </w:r>
          </w:p>
        </w:tc>
      </w:tr>
      <w:tr w:rsidR="00F94D9E" w:rsidRPr="00F94D9E" w:rsidTr="00E969BD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731" w:type="dxa"/>
          </w:tcPr>
          <w:p w:rsidR="00F94D9E" w:rsidRPr="00F94D9E" w:rsidRDefault="006A1971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6" w:type="dxa"/>
          </w:tcPr>
          <w:p w:rsidR="00F94D9E" w:rsidRPr="00F94D9E" w:rsidRDefault="00F94D9E" w:rsidP="00F94D9E">
            <w:pPr>
              <w:ind w:left="85" w:firstLine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D9E" w:rsidRPr="00F94D9E" w:rsidTr="00E969BD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31" w:type="dxa"/>
          </w:tcPr>
          <w:p w:rsidR="00F94D9E" w:rsidRPr="00F94D9E" w:rsidRDefault="00AB2B3D" w:rsidP="00F66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6" w:type="dxa"/>
          </w:tcPr>
          <w:p w:rsidR="006A1971" w:rsidRPr="00F66960" w:rsidRDefault="006A1971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44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D9E" w:rsidRPr="00F94D9E" w:rsidTr="00E969BD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31" w:type="dxa"/>
          </w:tcPr>
          <w:p w:rsidR="00F94D9E" w:rsidRPr="00F94D9E" w:rsidRDefault="00AB2B3D" w:rsidP="00AB2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чел.-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46" w:type="dxa"/>
          </w:tcPr>
          <w:p w:rsidR="00E73D02" w:rsidRPr="00E73D02" w:rsidRDefault="00E73D02" w:rsidP="00E73D02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t>2.2. Первоначальные химические понятия. Физические и химические явления. Химическая реакция. Признаки химических реакций</w:t>
            </w: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br/>
              <w:t>• различать химические и физические явления;</w:t>
            </w: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br/>
              <w:t>• называть признаки и условия протекания химических реакций;</w:t>
            </w: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br/>
              <w:t>• выявлять признаки, свидетельствующие о протекании химической реакции при выполнении химического опыта;</w:t>
            </w: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• объективно оценивать информацию о веществах и химических процессах;</w:t>
            </w: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br/>
              <w:t>• осознавать значение теоретических знаний по химии для практической деятельности человека</w:t>
            </w:r>
          </w:p>
          <w:p w:rsidR="00E73D02" w:rsidRPr="00E73D02" w:rsidRDefault="00E73D02" w:rsidP="00E73D02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t>4.4. • составлять схемы строения атомов первых 20 элементов Периодической системы Д.И. Менделеева;</w:t>
            </w: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br/>
              <w:t>• составлять формулы бинарных соединений</w:t>
            </w:r>
          </w:p>
          <w:p w:rsidR="00F94D9E" w:rsidRPr="00E73D02" w:rsidRDefault="00E73D02" w:rsidP="00A562E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t>7.3. • характеризовать взаимосвязь между классами неорганических соединений;</w:t>
            </w: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br/>
              <w:t>• соблюдать правила безопасной работы при проведении опытов;</w:t>
            </w: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br/>
              <w:t>• пользоваться лабораторным оборудованием и посудой;</w:t>
            </w: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br/>
              <w:t>• характеризовать вещества по составу, строению и свойствам, устанавливать причинно-следственные связи между данными характеристиками вещества;</w:t>
            </w:r>
            <w:r w:rsidRPr="00E73D02">
              <w:rPr>
                <w:rFonts w:ascii="Times New Roman" w:hAnsi="Times New Roman" w:cs="Times New Roman"/>
                <w:color w:val="000000"/>
                <w:sz w:val="24"/>
              </w:rPr>
              <w:br/>
              <w:t>• составлять уравнения реакций, соответствующих последовательности превращений неорганических веществ различных классов;</w:t>
            </w:r>
          </w:p>
        </w:tc>
        <w:tc>
          <w:tcPr>
            <w:tcW w:w="3544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РП</w:t>
            </w:r>
            <w:proofErr w:type="gramEnd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в части КТП</w:t>
            </w:r>
          </w:p>
        </w:tc>
      </w:tr>
      <w:tr w:rsidR="00F94D9E" w:rsidRPr="00F94D9E" w:rsidTr="00E969BD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«5»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6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B4F" w:rsidRPr="00F94D9E" w:rsidRDefault="00A93B4F" w:rsidP="00EF445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3B4F" w:rsidRPr="00F94D9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7361A14"/>
    <w:multiLevelType w:val="hybridMultilevel"/>
    <w:tmpl w:val="61428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7323227"/>
    <w:multiLevelType w:val="hybridMultilevel"/>
    <w:tmpl w:val="54CA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6053F"/>
    <w:multiLevelType w:val="hybridMultilevel"/>
    <w:tmpl w:val="9D4C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4"/>
  </w:num>
  <w:num w:numId="9">
    <w:abstractNumId w:val="15"/>
  </w:num>
  <w:num w:numId="10">
    <w:abstractNumId w:val="6"/>
  </w:num>
  <w:num w:numId="11">
    <w:abstractNumId w:val="14"/>
  </w:num>
  <w:num w:numId="12">
    <w:abstractNumId w:val="5"/>
  </w:num>
  <w:num w:numId="13">
    <w:abstractNumId w:val="12"/>
  </w:num>
  <w:num w:numId="14">
    <w:abstractNumId w:val="2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3B4F"/>
    <w:rsid w:val="0005497C"/>
    <w:rsid w:val="000D0717"/>
    <w:rsid w:val="000E5FD2"/>
    <w:rsid w:val="000F6FDF"/>
    <w:rsid w:val="001D4AA5"/>
    <w:rsid w:val="002B205D"/>
    <w:rsid w:val="002D7AA5"/>
    <w:rsid w:val="00302577"/>
    <w:rsid w:val="00351E6E"/>
    <w:rsid w:val="0035536D"/>
    <w:rsid w:val="00421054"/>
    <w:rsid w:val="00424C67"/>
    <w:rsid w:val="00430CF7"/>
    <w:rsid w:val="00470448"/>
    <w:rsid w:val="004C0C8A"/>
    <w:rsid w:val="00546CC0"/>
    <w:rsid w:val="00597D99"/>
    <w:rsid w:val="005A78D8"/>
    <w:rsid w:val="005B46F5"/>
    <w:rsid w:val="005C760A"/>
    <w:rsid w:val="005D7161"/>
    <w:rsid w:val="00615A6F"/>
    <w:rsid w:val="00670696"/>
    <w:rsid w:val="006A1971"/>
    <w:rsid w:val="007248C4"/>
    <w:rsid w:val="00726464"/>
    <w:rsid w:val="0076107C"/>
    <w:rsid w:val="007C50DB"/>
    <w:rsid w:val="007D2640"/>
    <w:rsid w:val="007E6223"/>
    <w:rsid w:val="008264C3"/>
    <w:rsid w:val="0087216D"/>
    <w:rsid w:val="0088624A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AB2B3D"/>
    <w:rsid w:val="00AC279C"/>
    <w:rsid w:val="00B425DB"/>
    <w:rsid w:val="00B50CC8"/>
    <w:rsid w:val="00BA73AA"/>
    <w:rsid w:val="00BC2D59"/>
    <w:rsid w:val="00BE7A84"/>
    <w:rsid w:val="00C1080E"/>
    <w:rsid w:val="00C21611"/>
    <w:rsid w:val="00C70C96"/>
    <w:rsid w:val="00CC360A"/>
    <w:rsid w:val="00CD3F0E"/>
    <w:rsid w:val="00CE147E"/>
    <w:rsid w:val="00D23A3C"/>
    <w:rsid w:val="00D51846"/>
    <w:rsid w:val="00D54569"/>
    <w:rsid w:val="00D628A6"/>
    <w:rsid w:val="00DD58FB"/>
    <w:rsid w:val="00E00E59"/>
    <w:rsid w:val="00E73D02"/>
    <w:rsid w:val="00E81EE8"/>
    <w:rsid w:val="00E969BD"/>
    <w:rsid w:val="00EF4457"/>
    <w:rsid w:val="00F442AE"/>
    <w:rsid w:val="00F66960"/>
    <w:rsid w:val="00F874E8"/>
    <w:rsid w:val="00F94D9E"/>
    <w:rsid w:val="00FA0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0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uzer19</cp:lastModifiedBy>
  <cp:revision>49</cp:revision>
  <dcterms:created xsi:type="dcterms:W3CDTF">2018-12-12T11:09:00Z</dcterms:created>
  <dcterms:modified xsi:type="dcterms:W3CDTF">2020-12-23T07:07:00Z</dcterms:modified>
</cp:coreProperties>
</file>