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49" w:rsidRPr="00B51F95" w:rsidRDefault="00B91149" w:rsidP="00B91149">
      <w:pPr>
        <w:jc w:val="right"/>
        <w:rPr>
          <w:rFonts w:eastAsia="Calibri"/>
          <w:lang w:eastAsia="en-US"/>
        </w:rPr>
      </w:pPr>
      <w:r w:rsidRPr="00B51F95">
        <w:rPr>
          <w:rFonts w:eastAsia="Calibri"/>
          <w:lang w:eastAsia="en-US"/>
        </w:rPr>
        <w:t>Приложение 1</w:t>
      </w:r>
    </w:p>
    <w:p w:rsidR="00B91149" w:rsidRPr="00B51F95" w:rsidRDefault="00B91149" w:rsidP="00B91149">
      <w:pPr>
        <w:jc w:val="right"/>
        <w:rPr>
          <w:rFonts w:eastAsia="Calibri"/>
          <w:lang w:eastAsia="en-US"/>
        </w:rPr>
      </w:pPr>
      <w:r w:rsidRPr="00B51F95">
        <w:rPr>
          <w:rFonts w:eastAsia="Calibri"/>
          <w:lang w:eastAsia="en-US"/>
        </w:rPr>
        <w:t>к приказу от 1</w:t>
      </w:r>
      <w:r w:rsidR="00411188">
        <w:rPr>
          <w:rFonts w:eastAsia="Calibri"/>
          <w:lang w:eastAsia="en-US"/>
        </w:rPr>
        <w:t>1</w:t>
      </w:r>
      <w:r w:rsidRPr="00B51F95">
        <w:rPr>
          <w:rFonts w:eastAsia="Calibri"/>
          <w:lang w:eastAsia="en-US"/>
        </w:rPr>
        <w:t>.01.2022</w:t>
      </w:r>
      <w:r>
        <w:rPr>
          <w:rFonts w:eastAsia="Calibri"/>
          <w:lang w:eastAsia="en-US"/>
        </w:rPr>
        <w:t>г.</w:t>
      </w:r>
      <w:r w:rsidRPr="00B51F95">
        <w:rPr>
          <w:rFonts w:eastAsia="Calibri"/>
          <w:lang w:eastAsia="en-US"/>
        </w:rPr>
        <w:t xml:space="preserve"> № </w:t>
      </w:r>
      <w:r w:rsidR="00411188">
        <w:rPr>
          <w:rFonts w:eastAsia="Calibri"/>
          <w:lang w:eastAsia="en-US"/>
        </w:rPr>
        <w:t>11</w:t>
      </w:r>
      <w:bookmarkStart w:id="0" w:name="_GoBack"/>
      <w:bookmarkEnd w:id="0"/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Концепция развития системы оценки качества подготовки обучающихся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Введение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Согласно решению коллегии Министерства образования и молодежной политики Свердловской области от 31.03.2021 №1/1 «Об основных итогах деятельности Министерства образования и молодежной политики Свердловской области в 2020 году и задачах на 2021 год» одной из приоритетных задач и направлений развития системы образования Свердловской области на 2021 год является организация полноценного функционирования, совершенствования и развития региональной системы оценки качества образования Свердловской области, в которую входят образовательные организации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округа.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Согласно приказа Министерства образования и молодежной политики Свердловской области от </w:t>
      </w:r>
      <w:proofErr w:type="gram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20.07.2021  №</w:t>
      </w:r>
      <w:proofErr w:type="gram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689-Д «Об утверждении Положения о региональной системе оценки качества образования Свердловской области», приказа Управления образования администрации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24.11.2021 № 222 «О муниципальной системе оценки качества образования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 МСОКО и ШСОКО направлены в том числе на: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достижение обучающимися планируемых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предметных 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функциональной грамотности, повышение уровня образовательных результатов в регионе на основе анализа Национальных исследований качества образования и международных сопоставительных исследований в сфере образования.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соответствии с региональной концепцией «Система оценки качества подготовки обучающихся» в рамках «Механизмов управления качеством образовательных результатов», разработана муниципальная и школьная концепция. Она направлена на уточнение и конкретизацию муниципальной и </w:t>
      </w:r>
      <w:proofErr w:type="gram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школьной  цели</w:t>
      </w:r>
      <w:proofErr w:type="gram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организация полноценного функционирования, совершенствования и развития муниципальной и школьной системы оценки качества образования в сфере оценки качества подготовки обучающихся.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Нормативные основания РСОКО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закон от 29 декабря 2012 года № 273-ФЗ «Об образовании в Российской Федерации»;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Национальная образовательная инициатива «Наша новая школа», утвержденная Президентом Российской Федерации от 4 февраля 2010 года № Пр-271;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Концепция долгосрочного социально-экономического развития Российской Федерации на период до 2020 года, утвержденная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распоряжением Правительства Российской Федерации от 17 ноября 2008 года № 1662-р;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 Правительства Российской Федерации от 22.09.2017 №955 «Об осуществлении мониторинга системы образования»;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 Правительства РФ от 30.03.2013 N 286 «О формировании независимой системы оценки качества работы организаций, оказывающих социальные услуги» (вместе с «Правилами формирования независимой системы оценки качества работы организаций, оказывающих социальные услуги»);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государственный стандарт начального образования (Приказ Министерства образования и науки Российской Федерации от 6 октября 2009 года № 373, в ред. приказов от 26 ноября 2010 года № 1241, от 22 сентября 2011 года № 2357);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государственный стандарт основного общего образования (Приказ Министерства образования и науки Российской Федерации от 17 декабря 2010 года № 1897);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Федеральный государственный стандарт среднего (полного) образования (Приказ Министерства образования и науки Российской Федерации от 17 мая 2012 года № 413);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Федеральная целевая программа развития образования на 2016-2020 годы (утверждена постановлениями Правительства Российской Федерации от 23 мая 2015 г № 497);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Приказ Министерства образования и науки Российской Федерации от 24 марта 2010 года № 10 «О порядке аттестации педагогических работников государственных и муниципальных образовательных учреждений»;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 Правительства Свердловской области от 30.08.20116 № 595-ПП «Об утверждении Плана мероприятий по реализации Стратегии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социальноэкономического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развития Свердловской области на 2016-2030 годы»;</w:t>
      </w:r>
    </w:p>
    <w:p w:rsidR="00B91149" w:rsidRPr="00B51F95" w:rsidRDefault="00B91149" w:rsidP="00B91149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 Правительства Свердловской области от 29.12.2017 № 919-ПП «Об утверждении государственной программы Свердловской области «Развитие системы образования в Свердловской области до 2024 года».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lastRenderedPageBreak/>
        <w:t xml:space="preserve">Цель: 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получение и распространение субъектами МСОКО и ШСОКО достоверной объективной информации о состоянии и результатах образовательной деятельности, тенденциях изменения качества общего образования, причинах, влияющих на его уровень, для формирования информационной основы принятия управленческих решений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Основные задачи: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Использование регионального перечня критериев качества образования с учетом социально-экономических особенностей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округа;</w:t>
      </w: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осуществление оценки качества образования и </w:t>
      </w:r>
      <w:proofErr w:type="gram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образовательных достижений</w:t>
      </w:r>
      <w:proofErr w:type="gram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обучающихся по уровням общего образования, включая независимую оценку, общественную и педагогическую экспертизу;</w:t>
      </w: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оценка результативности педагогической и управленческой деятельности в системе образования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для повышения эффективности управления на основе системного (сравнительного) анализа;</w:t>
      </w: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экспертного сообщества, участвующего в различных формах профессиональной и независимой оценки качества образования;</w:t>
      </w: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информационное, методическое и техническое сопровождение процедур оценки качества образования;</w:t>
      </w:r>
    </w:p>
    <w:p w:rsidR="00B91149" w:rsidRPr="00B51F95" w:rsidRDefault="00B91149" w:rsidP="00B91149">
      <w:pPr>
        <w:numPr>
          <w:ilvl w:val="0"/>
          <w:numId w:val="7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информирование населения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 качестве образования.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cr/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Общие принципы системы оценки качества образования</w:t>
      </w:r>
    </w:p>
    <w:p w:rsidR="00B91149" w:rsidRPr="00B51F95" w:rsidRDefault="00B91149" w:rsidP="00B91149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объективности, достоверности, полноты и системности информации;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открытости и информационной безопасности;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учета текущих и перспективных потребностей системы образования;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ориентации на требования внешних пользователей;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информатизации процессов сбора, обработки и анализа данных с учетом принципов необходимости и достаточности;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реалистичности требований, норм и показателей качества образования, их социальной и личностной значимости;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оптимальности использования источников первичных данных для определения показателей качества образования (с учетом возможности их многократного использования и экономической обоснованности);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минимизации системы показателей с учетом потребностей разных уровней управления системой образования;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иерархичности системы показателей;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инструментальности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технологичности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перехода к системе мониторинговых исследований;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сопоставимости системы показателей с международными аналогами;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единства создаваемого пространства оценки качества образования и подходов на всех уровнях системы образования;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соблюдения морально-этических норм при осуществлении процедур оценивания;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сочетания процедур профессиональной (ведомственной) оценки с независимой оценкой качества;</w:t>
      </w:r>
    </w:p>
    <w:p w:rsidR="00B91149" w:rsidRPr="00B51F95" w:rsidRDefault="00B91149" w:rsidP="00B91149">
      <w:pPr>
        <w:numPr>
          <w:ilvl w:val="0"/>
          <w:numId w:val="4"/>
        </w:numPr>
        <w:spacing w:after="200" w:line="276" w:lineRule="auto"/>
        <w:ind w:left="0"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обоснованное повышение роли независимой системы оценки качества и педагогической экспертизы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Анализ результатов оценочных процедур. Основные подходы</w:t>
      </w:r>
    </w:p>
    <w:p w:rsidR="00B91149" w:rsidRPr="00B51F95" w:rsidRDefault="00B91149" w:rsidP="00B91149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Учет технологии оценочной процедуры и её особенностей, структуры измерительных материалов и спецификаций, системы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шкалирования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представления результатов 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Выстраивание анализа на основе запросов заказчика и как можно большей части потребителей информации.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Понятные показатели, отражающие реальную ситуацию в ракурсе заказа.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Сравнение результатов школ внутри своего кластера и собственной динамика.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Описание ограничений на использование отдельных показателей, определение границ возможного их применения.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Направленность информирования о результатах оценочной процедуры на формирование рефлексивной позиции у участников образовательных отношений на всех уровнях управления системой образования.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Использование результатов оценки качества образования. Группы управленческих решений на основе результатов оценочных процедур</w:t>
      </w:r>
      <w:r w:rsidRPr="00B51F9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  <w:r w:rsidRPr="00B51F95"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  <w:t>Оценка и управление развитием территориальных образовательных систем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Распределение ресурсов и изменение условий организации образовательного процесса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Оптимизация и развитие сети, организация сетевого взаимодействия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Проектирование и реализация комплекса мер по повышению качества образования через отбор позитивного опыта и организацию эффективной работы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населения о состоянии системы образования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  <w:r w:rsidRPr="00B51F95"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  <w:t>Оценка и управление развитием образовательной организации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Аккредитация образовательной организации, изменение статуса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Распределение ресурсов и изменение условий организации образовательного процесса в школе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Распределение грантов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населения об образовательной организации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  <w:r w:rsidRPr="00B51F95"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  <w:t>Оценка, стимулирование деятельности и профессионального развития педагогических работников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Аттестация педагогических работников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Установление стимулирующих надбавок, грантов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Разработка программ повышения квалификации педагогических 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i/>
          <w:sz w:val="28"/>
          <w:szCs w:val="28"/>
          <w:u w:val="single"/>
          <w:lang w:eastAsia="en-US"/>
        </w:rPr>
        <w:t>Совершенствование содержания и методов работы с учащимися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Программы работы с отдельными категориями учащихся (одарённые дети, дети-инвалиды, дети, испытывающие трудности в обучении)</w:t>
      </w:r>
    </w:p>
    <w:p w:rsidR="00B91149" w:rsidRPr="00B51F95" w:rsidRDefault="00B91149" w:rsidP="00B91149">
      <w:pPr>
        <w:numPr>
          <w:ilvl w:val="0"/>
          <w:numId w:val="6"/>
        </w:numPr>
        <w:spacing w:after="20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Выстраивание индивидуальных образовательных траекторий.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ind w:firstLine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Направления развития МСОКО и ШСОКО</w:t>
      </w:r>
    </w:p>
    <w:p w:rsidR="00B91149" w:rsidRPr="00B51F95" w:rsidRDefault="00B91149" w:rsidP="00B91149">
      <w:pPr>
        <w:ind w:firstLine="36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 информационной среды с удалённым регламентированным доступом (региональная информационная система – РИС ОКО)</w:t>
      </w:r>
    </w:p>
    <w:p w:rsidR="00B91149" w:rsidRPr="00B51F95" w:rsidRDefault="00B91149" w:rsidP="00B91149">
      <w:pPr>
        <w:ind w:firstLine="36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Аналитическое исследование результатов разных оценочных процедур, соотнесение результатов образования с требованиями ФГОС общего образования.</w:t>
      </w:r>
    </w:p>
    <w:p w:rsidR="00B91149" w:rsidRPr="00B51F95" w:rsidRDefault="00B91149" w:rsidP="00B91149">
      <w:pPr>
        <w:ind w:firstLine="36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 корректных методик анализа и интерпретации результатов (динамическая оценка, индивидуальный прогресс, кластерный анализ результатов, учёт разных данных, работа с контекстной информацией).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Целенаправленная подготовка кадров для МСОКО и ШСОКО 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учет интересов разных групп потребителей информации.</w:t>
      </w:r>
    </w:p>
    <w:p w:rsidR="00B91149" w:rsidRPr="00B51F95" w:rsidRDefault="00B91149" w:rsidP="00B91149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Включение в работу МСОКО и ШСОКО всей системы образования (региональные, муниципальные и школьные структуры, образовательные организации, внешние участники)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Цели системы оценки качества подготовки обучающихся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Цели по достижению обучающимися планируемых предметных результатов освоения основной образовательной программы начального общего образования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Согласно результатам ВПР </w:t>
      </w:r>
      <w:proofErr w:type="gram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в четвертых</w:t>
      </w:r>
      <w:proofErr w:type="gram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классах по русскому языку и математике в 2020 году по сравнению с предыдущими годами значительно увеличилась доля обучающихся, получивших отметку «2».</w:t>
      </w: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ВПР. 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708"/>
        <w:gridCol w:w="709"/>
        <w:gridCol w:w="709"/>
        <w:gridCol w:w="709"/>
        <w:gridCol w:w="935"/>
        <w:gridCol w:w="1216"/>
        <w:gridCol w:w="1216"/>
      </w:tblGrid>
      <w:tr w:rsidR="00B91149" w:rsidRPr="00B51F95" w:rsidTr="001C16C4">
        <w:trPr>
          <w:trHeight w:val="20"/>
        </w:trPr>
        <w:tc>
          <w:tcPr>
            <w:tcW w:w="1384" w:type="dxa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4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участвующих в ВПР</w:t>
            </w:r>
          </w:p>
        </w:tc>
        <w:tc>
          <w:tcPr>
            <w:tcW w:w="851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% участия ОО</w:t>
            </w:r>
          </w:p>
        </w:tc>
        <w:tc>
          <w:tcPr>
            <w:tcW w:w="708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Подтвердили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.= 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1216" w:type="dxa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Понизили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.&lt;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1216" w:type="dxa"/>
            <w:shd w:val="clear" w:color="auto" w:fill="FDE9D9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Повысили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.&gt;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1384" w:type="dxa"/>
            <w:shd w:val="clear" w:color="auto" w:fill="auto"/>
            <w:noWrap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1" w:type="dxa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98,11</w:t>
            </w:r>
          </w:p>
        </w:tc>
        <w:tc>
          <w:tcPr>
            <w:tcW w:w="708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30,45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40,71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13,46</w:t>
            </w:r>
          </w:p>
        </w:tc>
        <w:tc>
          <w:tcPr>
            <w:tcW w:w="935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52,88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16,35</w:t>
            </w:r>
          </w:p>
        </w:tc>
      </w:tr>
      <w:tr w:rsidR="00B91149" w:rsidRPr="00B51F95" w:rsidTr="001C16C4">
        <w:trPr>
          <w:trHeight w:val="20"/>
        </w:trPr>
        <w:tc>
          <w:tcPr>
            <w:tcW w:w="1384" w:type="dxa"/>
            <w:shd w:val="clear" w:color="auto" w:fill="auto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96,86</w:t>
            </w:r>
          </w:p>
        </w:tc>
        <w:tc>
          <w:tcPr>
            <w:tcW w:w="708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23,38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35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22,48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25,08</w:t>
            </w:r>
          </w:p>
        </w:tc>
      </w:tr>
      <w:tr w:rsidR="00B91149" w:rsidRPr="00B51F95" w:rsidTr="001C16C4">
        <w:trPr>
          <w:trHeight w:val="20"/>
        </w:trPr>
        <w:tc>
          <w:tcPr>
            <w:tcW w:w="1384" w:type="dxa"/>
            <w:shd w:val="clear" w:color="auto" w:fill="auto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51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95,91</w:t>
            </w:r>
          </w:p>
        </w:tc>
        <w:tc>
          <w:tcPr>
            <w:tcW w:w="708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709" w:type="dxa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21,97</w:t>
            </w:r>
          </w:p>
        </w:tc>
        <w:tc>
          <w:tcPr>
            <w:tcW w:w="935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49,51</w:t>
            </w:r>
          </w:p>
        </w:tc>
        <w:tc>
          <w:tcPr>
            <w:tcW w:w="1216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30,82</w:t>
            </w:r>
          </w:p>
        </w:tc>
      </w:tr>
      <w:tr w:rsidR="00B91149" w:rsidRPr="00B51F95" w:rsidTr="001C16C4">
        <w:trPr>
          <w:trHeight w:val="20"/>
        </w:trPr>
        <w:tc>
          <w:tcPr>
            <w:tcW w:w="1384" w:type="dxa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НТГО</w:t>
            </w:r>
          </w:p>
        </w:tc>
        <w:tc>
          <w:tcPr>
            <w:tcW w:w="1134" w:type="dxa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851" w:type="dxa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96,96</w:t>
            </w:r>
          </w:p>
        </w:tc>
        <w:tc>
          <w:tcPr>
            <w:tcW w:w="708" w:type="dxa"/>
            <w:shd w:val="clear" w:color="auto" w:fill="FDE9D9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09" w:type="dxa"/>
            <w:shd w:val="clear" w:color="auto" w:fill="FDE9D9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709" w:type="dxa"/>
            <w:shd w:val="clear" w:color="auto" w:fill="FDE9D9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709" w:type="dxa"/>
            <w:shd w:val="clear" w:color="auto" w:fill="FDE9D9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19,28</w:t>
            </w:r>
          </w:p>
        </w:tc>
        <w:tc>
          <w:tcPr>
            <w:tcW w:w="935" w:type="dxa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24,31</w:t>
            </w:r>
          </w:p>
        </w:tc>
        <w:tc>
          <w:tcPr>
            <w:tcW w:w="1216" w:type="dxa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16" w:type="dxa"/>
            <w:shd w:val="clear" w:color="auto" w:fill="FDE9D9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24,08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ВПР. 5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29"/>
        <w:gridCol w:w="813"/>
        <w:gridCol w:w="703"/>
        <w:gridCol w:w="755"/>
        <w:gridCol w:w="751"/>
        <w:gridCol w:w="632"/>
        <w:gridCol w:w="841"/>
        <w:gridCol w:w="1312"/>
        <w:gridCol w:w="1308"/>
      </w:tblGrid>
      <w:tr w:rsidR="00B91149" w:rsidRPr="00B51F95" w:rsidTr="001C16C4">
        <w:trPr>
          <w:trHeight w:val="20"/>
        </w:trPr>
        <w:tc>
          <w:tcPr>
            <w:tcW w:w="589" w:type="pct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4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участвующих в ВПР</w:t>
            </w:r>
          </w:p>
        </w:tc>
        <w:tc>
          <w:tcPr>
            <w:tcW w:w="435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% участия ОО</w:t>
            </w:r>
          </w:p>
        </w:tc>
        <w:tc>
          <w:tcPr>
            <w:tcW w:w="376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4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Подтвердили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.= 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  <w:tc>
          <w:tcPr>
            <w:tcW w:w="702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Понизили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.&lt;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  <w:tc>
          <w:tcPr>
            <w:tcW w:w="700" w:type="pct"/>
            <w:shd w:val="clear" w:color="auto" w:fill="FDE9D9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Повысили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.&gt;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589" w:type="pct"/>
            <w:shd w:val="clear" w:color="auto" w:fill="auto"/>
            <w:noWrap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Русский</w:t>
            </w:r>
          </w:p>
        </w:tc>
        <w:tc>
          <w:tcPr>
            <w:tcW w:w="604" w:type="pct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35" w:type="pct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376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18,38</w:t>
            </w:r>
          </w:p>
        </w:tc>
        <w:tc>
          <w:tcPr>
            <w:tcW w:w="404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40,44</w:t>
            </w:r>
          </w:p>
        </w:tc>
        <w:tc>
          <w:tcPr>
            <w:tcW w:w="4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28,31</w:t>
            </w:r>
          </w:p>
        </w:tc>
        <w:tc>
          <w:tcPr>
            <w:tcW w:w="338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4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53,68</w:t>
            </w:r>
          </w:p>
        </w:tc>
        <w:tc>
          <w:tcPr>
            <w:tcW w:w="7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70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6,25</w:t>
            </w:r>
          </w:p>
        </w:tc>
      </w:tr>
      <w:tr w:rsidR="00B91149" w:rsidRPr="00B51F95" w:rsidTr="001C16C4">
        <w:trPr>
          <w:trHeight w:val="20"/>
        </w:trPr>
        <w:tc>
          <w:tcPr>
            <w:tcW w:w="589" w:type="pct"/>
            <w:shd w:val="clear" w:color="auto" w:fill="auto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04" w:type="pct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35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92,81</w:t>
            </w:r>
          </w:p>
        </w:tc>
        <w:tc>
          <w:tcPr>
            <w:tcW w:w="376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404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4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338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4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36,16</w:t>
            </w:r>
          </w:p>
        </w:tc>
        <w:tc>
          <w:tcPr>
            <w:tcW w:w="7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55,72</w:t>
            </w:r>
          </w:p>
        </w:tc>
        <w:tc>
          <w:tcPr>
            <w:tcW w:w="70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8,12</w:t>
            </w:r>
          </w:p>
        </w:tc>
      </w:tr>
      <w:tr w:rsidR="00B91149" w:rsidRPr="00B51F95" w:rsidTr="001C16C4">
        <w:trPr>
          <w:trHeight w:val="20"/>
        </w:trPr>
        <w:tc>
          <w:tcPr>
            <w:tcW w:w="589" w:type="pct"/>
            <w:shd w:val="clear" w:color="auto" w:fill="auto"/>
            <w:noWrap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04" w:type="pct"/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35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93,15</w:t>
            </w:r>
          </w:p>
        </w:tc>
        <w:tc>
          <w:tcPr>
            <w:tcW w:w="376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35,16</w:t>
            </w:r>
          </w:p>
        </w:tc>
        <w:tc>
          <w:tcPr>
            <w:tcW w:w="404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4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338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4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29,67</w:t>
            </w:r>
          </w:p>
        </w:tc>
        <w:tc>
          <w:tcPr>
            <w:tcW w:w="702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0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2,93</w:t>
            </w:r>
          </w:p>
        </w:tc>
      </w:tr>
      <w:tr w:rsidR="00B91149" w:rsidRPr="00B51F95" w:rsidTr="001C16C4">
        <w:trPr>
          <w:trHeight w:val="20"/>
        </w:trPr>
        <w:tc>
          <w:tcPr>
            <w:tcW w:w="589" w:type="pct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lastRenderedPageBreak/>
              <w:t>НТГО</w:t>
            </w:r>
          </w:p>
        </w:tc>
        <w:tc>
          <w:tcPr>
            <w:tcW w:w="604" w:type="pct"/>
            <w:shd w:val="clear" w:color="auto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816</w:t>
            </w:r>
          </w:p>
        </w:tc>
        <w:tc>
          <w:tcPr>
            <w:tcW w:w="435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279,45</w:t>
            </w:r>
          </w:p>
        </w:tc>
        <w:tc>
          <w:tcPr>
            <w:tcW w:w="376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404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402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25,37</w:t>
            </w:r>
          </w:p>
        </w:tc>
        <w:tc>
          <w:tcPr>
            <w:tcW w:w="338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450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702" w:type="pct"/>
            <w:shd w:val="clear" w:color="auto" w:fill="FDE9D9"/>
            <w:noWrap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00" w:type="pct"/>
            <w:shd w:val="clear" w:color="auto" w:fill="FDE9D9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</w:pPr>
            <w:r w:rsidRPr="00B51F9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5,77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ВПР. 6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153"/>
        <w:gridCol w:w="748"/>
        <w:gridCol w:w="579"/>
        <w:gridCol w:w="639"/>
        <w:gridCol w:w="637"/>
        <w:gridCol w:w="496"/>
        <w:gridCol w:w="1122"/>
        <w:gridCol w:w="1179"/>
        <w:gridCol w:w="1179"/>
      </w:tblGrid>
      <w:tr w:rsidR="00B91149" w:rsidRPr="00B51F95" w:rsidTr="001C16C4">
        <w:trPr>
          <w:trHeight w:val="20"/>
        </w:trPr>
        <w:tc>
          <w:tcPr>
            <w:tcW w:w="882" w:type="pct"/>
            <w:shd w:val="clear" w:color="auto" w:fill="FDE9D9"/>
            <w:noWrap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02" w:type="pct"/>
            <w:shd w:val="clear" w:color="auto" w:fill="FDE9D9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Количество участвующих в ВПР</w:t>
            </w:r>
          </w:p>
        </w:tc>
        <w:tc>
          <w:tcPr>
            <w:tcW w:w="391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% участия ОО</w:t>
            </w:r>
          </w:p>
        </w:tc>
        <w:tc>
          <w:tcPr>
            <w:tcW w:w="328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0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Подтвердили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.= 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616" w:type="pct"/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Понизили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.&lt;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  <w:tc>
          <w:tcPr>
            <w:tcW w:w="616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Повысили (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.&gt;</w:t>
            </w:r>
            <w:proofErr w:type="spellStart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Русский язык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91,23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41,92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20,38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27,31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68,08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4,62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История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34,04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42,52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30,31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19,29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7,87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21,65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77,32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1,03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Обществознание 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40,35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40,87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41,74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16,52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36,52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62,61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0,87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Биология 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49,12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29,37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46,83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52,38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0,79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География 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52,63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18,67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48,67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45,33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auto"/>
            <w:noWrap/>
            <w:vAlign w:val="center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Математика 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91,58</w:t>
            </w:r>
          </w:p>
        </w:tc>
        <w:tc>
          <w:tcPr>
            <w:tcW w:w="328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47,83</w:t>
            </w:r>
          </w:p>
        </w:tc>
        <w:tc>
          <w:tcPr>
            <w:tcW w:w="360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11,41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27,72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69,57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2,72</w:t>
            </w:r>
          </w:p>
        </w:tc>
      </w:tr>
      <w:tr w:rsidR="00B91149" w:rsidRPr="00B51F95" w:rsidTr="001C16C4">
        <w:trPr>
          <w:trHeight w:val="20"/>
        </w:trPr>
        <w:tc>
          <w:tcPr>
            <w:tcW w:w="882" w:type="pct"/>
            <w:shd w:val="clear" w:color="auto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НТГО</w:t>
            </w:r>
          </w:p>
        </w:tc>
        <w:tc>
          <w:tcPr>
            <w:tcW w:w="602" w:type="pct"/>
            <w:shd w:val="clear" w:color="auto" w:fill="FDE9D9"/>
            <w:noWrap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391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59,82</w:t>
            </w:r>
          </w:p>
        </w:tc>
        <w:tc>
          <w:tcPr>
            <w:tcW w:w="328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36,86</w:t>
            </w:r>
          </w:p>
        </w:tc>
        <w:tc>
          <w:tcPr>
            <w:tcW w:w="360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>40,58</w:t>
            </w:r>
          </w:p>
        </w:tc>
        <w:tc>
          <w:tcPr>
            <w:tcW w:w="359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18,86</w:t>
            </w:r>
          </w:p>
        </w:tc>
        <w:tc>
          <w:tcPr>
            <w:tcW w:w="260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586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34,78</w:t>
            </w:r>
          </w:p>
        </w:tc>
        <w:tc>
          <w:tcPr>
            <w:tcW w:w="616" w:type="pct"/>
            <w:shd w:val="clear" w:color="auto" w:fill="FDE9D9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62,55</w:t>
            </w:r>
          </w:p>
        </w:tc>
        <w:tc>
          <w:tcPr>
            <w:tcW w:w="616" w:type="pct"/>
            <w:shd w:val="clear" w:color="auto" w:fill="FDE9D9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B51F95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2,67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ВПР. 7 класс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522"/>
        <w:gridCol w:w="628"/>
        <w:gridCol w:w="819"/>
        <w:gridCol w:w="621"/>
        <w:gridCol w:w="621"/>
        <w:gridCol w:w="621"/>
        <w:gridCol w:w="531"/>
        <w:gridCol w:w="1313"/>
        <w:gridCol w:w="1253"/>
        <w:gridCol w:w="1313"/>
      </w:tblGrid>
      <w:tr w:rsidR="00B91149" w:rsidRPr="00B51F95" w:rsidTr="001C16C4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кол-во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учас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-их в ВПР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% участия ОО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Понизили (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.&lt;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Подтвердили (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.= 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Повысили (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.&gt;</w:t>
            </w:r>
            <w:proofErr w:type="spellStart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История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23,37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2,69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4,07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63,93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2,73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 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1,17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1,91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0,84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Французский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0,4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3,56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Биология (по программе 8 класса)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НТГО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72,89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25,38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91149" w:rsidRPr="00B51F95" w:rsidRDefault="00B91149" w:rsidP="001C16C4">
            <w:pPr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bCs/>
                <w:sz w:val="18"/>
                <w:szCs w:val="18"/>
                <w:lang w:eastAsia="en-US"/>
              </w:rPr>
              <w:t>1,74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ВПР. 8 класс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4"/>
        <w:gridCol w:w="788"/>
        <w:gridCol w:w="815"/>
        <w:gridCol w:w="621"/>
        <w:gridCol w:w="621"/>
        <w:gridCol w:w="621"/>
        <w:gridCol w:w="531"/>
        <w:gridCol w:w="1299"/>
        <w:gridCol w:w="1236"/>
        <w:gridCol w:w="1299"/>
      </w:tblGrid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кол-во 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учас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-их в ВПР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% участия ОО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Понизили (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.&lt;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Подтвердили (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.= 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Повысили (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.&gt;</w:t>
            </w:r>
            <w:proofErr w:type="spellStart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Отм.по</w:t>
            </w:r>
            <w:proofErr w:type="spellEnd"/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29,69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52,63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34,21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13,16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71,05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26,32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2,63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19,53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10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География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10,55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59,26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29,63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11,11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77,78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22,22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Физика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34,38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59,09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3,41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История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30,08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49,35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31,17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12,99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6,49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77,92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18,18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3,9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Биология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59,77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32,68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40,52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25,49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1,31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54,9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42,48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2,61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Математика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75,39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47,67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48,19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4,15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67,88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3,63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Русский язык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75,78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53,61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24,23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17,53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4,64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57,73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37,63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4,64</w:t>
            </w:r>
          </w:p>
        </w:tc>
      </w:tr>
      <w:tr w:rsidR="00B91149" w:rsidRPr="00B51F95" w:rsidTr="001C16C4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НТГО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858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41,89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48,29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18"/>
                <w:szCs w:val="18"/>
                <w:lang w:eastAsia="en-US"/>
              </w:rPr>
              <w:t>34,43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14,73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2,56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66,78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29,79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3,43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Результаты ВПР, 10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2"/>
        <w:gridCol w:w="1214"/>
        <w:gridCol w:w="769"/>
        <w:gridCol w:w="711"/>
        <w:gridCol w:w="711"/>
        <w:gridCol w:w="711"/>
        <w:gridCol w:w="326"/>
        <w:gridCol w:w="1202"/>
        <w:gridCol w:w="1244"/>
        <w:gridCol w:w="1245"/>
      </w:tblGrid>
      <w:tr w:rsidR="00B91149" w:rsidRPr="00B51F95" w:rsidTr="001C16C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Количество участвующих в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% участия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Подтвердили (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,= 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Отм,по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Понизили (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,&lt;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Отм,по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Повысили (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,&gt;</w:t>
            </w:r>
            <w:proofErr w:type="spellStart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Отм,по</w:t>
            </w:r>
            <w:proofErr w:type="spellEnd"/>
            <w:r w:rsidRPr="00B51F95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 журналу)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51,43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37,14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0</w:t>
            </w:r>
          </w:p>
        </w:tc>
      </w:tr>
      <w:tr w:rsidR="00B91149" w:rsidRPr="00B51F95" w:rsidTr="001C16C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НТГО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51,43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37,14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spacing w:after="200"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91149" w:rsidRPr="00B51F95" w:rsidRDefault="00B91149" w:rsidP="001C16C4">
            <w:pPr>
              <w:jc w:val="center"/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</w:pPr>
            <w:r w:rsidRPr="00B51F95">
              <w:rPr>
                <w:rFonts w:ascii="Liberation Serif" w:eastAsia="Calibri" w:hAnsi="Liberation Serif" w:cs="Liberation Serif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Целью в сфере достижения обучающимися планируемых предметных результатов освоения основной образовательной программы начального общего образования является достижение результатов ВПР на уровне региональных и выше показателей.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Цели по достижению обучающимися планируемых предметных результатов освоения основной образовательной программы основного общего образования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2020 году в НТГО 9-х классов были допущены к государственной итоговой аттестации по программам основного общего образования и получили аттестат об основном общем образовании (в силу особенностей проведения ГИА в 2020 году (постановление Правительства Российской Федерации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бакалавриата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программам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специалитета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2020 году», приказ Министерства просвещения Российской Федерации и Федеральной службы по надзору в сфере образования и науки от 15.06.2020 № 297/655 «Об особенностях проведения единого государственного экзамена в 2020 году»).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 итогам основного периода ГИА-9 число выпускников, успешно прошедших государственную итоговую аттестацию составило 95,83% (от 264 чел., допущенных к ГИА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9) и 93,01% от общего количества выпускников (272 чел.).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 учетом пересдачи в дополнительный период число выпускников, успешно прошедших государственную итоговую аттестацию и получивших аттестат об основном общем образовании в 2021 году составило 264 человека (100% от числа допущенных и участников ГИА-9, 97,06% от общего количества выпускников) (в 2019 году - 99,28% от числа допущенных к ГИА-9, 99,64% от числа участников ГИА-9, 96,81% от общего количества выпускников).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В 2021 году (на 01.09.2021) из 272 выпускников на «4» и «5» основную образовательную программу основного общего образования освоили 103 человека, что составило 37,9%. Показатель уменьшился на 6,6% по сравнению с прошлым годом.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Анализ результатов ОГЭ в 2020 году показывает, что в сравнении с 2019 годом практически по всем предметам, в том числе по русскому языку и математике снизилась доля неудовлетворительных результатов.</w:t>
      </w:r>
      <w:r w:rsidRPr="00B51F9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Показатели по математике, русскому языку (отметка, балл) в сравнении с 2019 годом снизились</w:t>
      </w:r>
    </w:p>
    <w:p w:rsidR="00B91149" w:rsidRPr="00B51F95" w:rsidRDefault="00B91149" w:rsidP="00B91149">
      <w:pPr>
        <w:ind w:firstLine="284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Целью по достижению обучающимися планируемых предметных результатов освоения основной образовательной программы основного общего образования является сохранение и увеличение доли обучающихся, успешно прошедших государственную итоговую аттестацию в 9 классе и получивших аттестат об основном общем образовании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ind w:left="709" w:hanging="425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lastRenderedPageBreak/>
        <w:t>Цели по достижению обучающимися планируемых предметных результатов освоения основной образовательной программы среднего общего образования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протяжении последних лет в НТГО фиксируется относительно стабильное число участников ЕГЭ. При этом сокращается число выпускников, не получивших среднее общее образование.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Общее число выпускников, успешно прошедших государственную итоговую аттестацию в течение 3 последних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40"/>
        <w:gridCol w:w="2343"/>
        <w:gridCol w:w="2343"/>
      </w:tblGrid>
      <w:tr w:rsidR="00B91149" w:rsidRPr="00B51F95" w:rsidTr="001C16C4">
        <w:tc>
          <w:tcPr>
            <w:tcW w:w="2392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Учебный год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Общее количество выпускников 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Количество выпускников, успешно прошедших ГИА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Процент выпускников, успешно прошедших ГИА</w:t>
            </w:r>
          </w:p>
        </w:tc>
      </w:tr>
      <w:tr w:rsidR="00B91149" w:rsidRPr="00B51F95" w:rsidTr="001C16C4">
        <w:tc>
          <w:tcPr>
            <w:tcW w:w="2392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2017-2018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97,89%</w:t>
            </w:r>
          </w:p>
        </w:tc>
      </w:tr>
      <w:tr w:rsidR="00B91149" w:rsidRPr="00B51F95" w:rsidTr="001C16C4">
        <w:tc>
          <w:tcPr>
            <w:tcW w:w="2392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2018-2019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100%</w:t>
            </w:r>
          </w:p>
        </w:tc>
      </w:tr>
      <w:tr w:rsidR="00B91149" w:rsidRPr="00B51F95" w:rsidTr="001C16C4">
        <w:tc>
          <w:tcPr>
            <w:tcW w:w="2392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2019-2020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100%</w:t>
            </w:r>
          </w:p>
        </w:tc>
      </w:tr>
      <w:tr w:rsidR="00B91149" w:rsidRPr="00B51F95" w:rsidTr="001C16C4">
        <w:tc>
          <w:tcPr>
            <w:tcW w:w="2392" w:type="dxa"/>
            <w:shd w:val="clear" w:color="auto" w:fill="auto"/>
          </w:tcPr>
          <w:p w:rsidR="00B91149" w:rsidRPr="00B51F95" w:rsidRDefault="00B91149" w:rsidP="001C16C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 xml:space="preserve"> 2020-2021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393" w:type="dxa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98,70%</w:t>
            </w:r>
          </w:p>
        </w:tc>
      </w:tr>
    </w:tbl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Общее число выпускников, успешно прошедших государственную итоговую аттестацию в 2021 году, составило 98,7%.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Государственную итоговую аттестацию не прошёл 1 выпускник – участник ГИА в форме ГВЭ-2021.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Показатель «Доля выпускников государственных (муниципальных) 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организаций» - 0 %. В 2021 году из 77 выпускников на «4» и «5» основную образовательную программу среднего общего образования освоили 51 человек, что составило 66,2%. Из шести общеобразовательных организаций, в которых были выпускники 11 класса, в пяти – данный показатель превысил 50%, в том числе: в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Косьинской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СОШ (2 чел. – 100%), СОШ №3 (17 чел. – 89,5 %), ИСОШ (11 чел. – 73,3%); НТГ (9 чел. – 69,2%) и СОШ №1 (7 чел. – 53,8%). 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Целью по достижению обучающимися планируемых предметных результатов освоения основной образовательной программы среднего общего образования является сохранение и увеличение доли обучающихся, успешно прошедших государственную итоговую аттестацию в 11 классе и получивших аттестат о среднем общем образовании.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Цели по достижению обучающимися планируемых </w:t>
      </w:r>
      <w:proofErr w:type="spell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результатов освоения основной образовательной программы начального общего образования, основного общего образования, среднего общего образования.</w:t>
      </w: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текущий момент отсутствуют региональные оценочные процедуры, направленные на оценку планируемых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результатов освоения основной образовательной программы НОО, ООО, СОО. В связи с этим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отсутствуют данные, характеризующие исходное состояние, базовое значение, необходимое для формулировки обоснованной цели по достижению обучающимися планируемых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результатов освоения основной образовательной программы начального общего образования, основного общего образования, среднего общего образования. Региональной целью в сфере достижения обучающимися планируемых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результатов освоения НОО, ООО, СОО является разработка походов к анализу результатов внешних оценочных процедур (ВПР, ГИА) на предмет выявления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сформированности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результатов.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Муниципальная и школьная цель: достижение обучающимися планируемых результатов на уровне личностных,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предметных результатов, зафиксированных в ООП НОО, ООП ООО, ООП СОО</w:t>
      </w:r>
      <w:r w:rsidRPr="00B51F95">
        <w:rPr>
          <w:rFonts w:ascii="Calibri" w:eastAsia="Calibri" w:hAnsi="Calibri"/>
          <w:sz w:val="22"/>
          <w:szCs w:val="22"/>
          <w:lang w:eastAsia="en-US"/>
        </w:rPr>
        <w:t xml:space="preserve"> при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реализации проектной и учебно-исследовательской деятельности в соответствии с ФГОС.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Цели по оценке функциональной грамотности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На государственном уровне проблемам грамотности уделяется значительное внимание, что находит отражение в соответствующих документах.</w:t>
      </w:r>
    </w:p>
    <w:p w:rsidR="00B91149" w:rsidRPr="00B51F95" w:rsidRDefault="00B91149" w:rsidP="00B91149">
      <w:pPr>
        <w:ind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Из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года»: «При разработке национального проекта в сфере образования Правительству РФ необходимо обеспечить:</w:t>
      </w:r>
    </w:p>
    <w:p w:rsidR="00B91149" w:rsidRPr="00B51F95" w:rsidRDefault="00B91149" w:rsidP="00B91149">
      <w:pPr>
        <w:numPr>
          <w:ilvl w:val="0"/>
          <w:numId w:val="2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глобальную конкурентоспособность российского образования;</w:t>
      </w:r>
    </w:p>
    <w:p w:rsidR="00B91149" w:rsidRPr="00B51F95" w:rsidRDefault="00B91149" w:rsidP="00B91149">
      <w:pPr>
        <w:numPr>
          <w:ilvl w:val="0"/>
          <w:numId w:val="2"/>
        </w:numPr>
        <w:spacing w:after="200" w:line="276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вхождение Российской Федерации в число 10 ведущих стран мира по качеству общего образования».</w:t>
      </w:r>
    </w:p>
    <w:p w:rsidR="00B91149" w:rsidRPr="00B51F95" w:rsidRDefault="00B91149" w:rsidP="00B91149">
      <w:pPr>
        <w:ind w:firstLine="6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Из государственной программы Российской Федерации от 26 декабря 2017 № 1642 «Развитие образования» (2018-2025годы):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«...сохранение лидирующих позиций Российской Федерации в международном исследовании качества чтения и понимания текста (PIRLS), а также в международном исследовании качества математического и естественнонаучного образования (TIMSS); повышение позиций Российской Федерации в международной программе по оценке образовательных достижений учащихся (PISА)».</w:t>
      </w:r>
    </w:p>
    <w:p w:rsidR="00B91149" w:rsidRPr="00B51F95" w:rsidRDefault="00B91149" w:rsidP="00B91149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Национальные исследования по оценке качества образования фиксируют снижение </w:t>
      </w:r>
      <w:proofErr w:type="gram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образовательных результатов</w:t>
      </w:r>
      <w:proofErr w:type="gram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обучающихся при переходе из начальной школы в основную. В связи с этим актуальным становится проведение оценочных процедур, направленных выявление причин снижения результатов.</w:t>
      </w:r>
      <w:r w:rsidRPr="00B51F9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91149" w:rsidRPr="00B51F95" w:rsidRDefault="00B91149" w:rsidP="00B91149">
      <w:pPr>
        <w:widowControl w:val="0"/>
        <w:spacing w:line="326" w:lineRule="exact"/>
        <w:ind w:right="20" w:firstLine="20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 xml:space="preserve">Задания по функциональной грамотности вызывают существенные затруднения у учащихся общеобразовательных организаций </w:t>
      </w:r>
      <w:proofErr w:type="spellStart"/>
      <w:r w:rsidRPr="00B51F95">
        <w:rPr>
          <w:rFonts w:ascii="Liberation Serif" w:hAnsi="Liberation Serif" w:cs="Liberation Serif"/>
          <w:sz w:val="28"/>
          <w:szCs w:val="28"/>
        </w:rPr>
        <w:lastRenderedPageBreak/>
        <w:t>Нижнетуринского</w:t>
      </w:r>
      <w:proofErr w:type="spellEnd"/>
      <w:r w:rsidRPr="00B51F95">
        <w:rPr>
          <w:rFonts w:ascii="Liberation Serif" w:hAnsi="Liberation Serif" w:cs="Liberation Serif"/>
          <w:sz w:val="28"/>
          <w:szCs w:val="28"/>
        </w:rPr>
        <w:t xml:space="preserve"> городского округа. Об этом свидетельствуют следующие результаты:</w:t>
      </w:r>
    </w:p>
    <w:p w:rsidR="00B91149" w:rsidRPr="00B51F95" w:rsidRDefault="00B91149" w:rsidP="00B91149">
      <w:pPr>
        <w:widowControl w:val="0"/>
        <w:numPr>
          <w:ilvl w:val="0"/>
          <w:numId w:val="3"/>
        </w:numPr>
        <w:tabs>
          <w:tab w:val="left" w:pos="966"/>
        </w:tabs>
        <w:spacing w:after="200" w:line="317" w:lineRule="exact"/>
        <w:ind w:left="20" w:right="20"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 xml:space="preserve">наибольшее количество учащихся в 4 классах набрали 9-10 баллов, а в 8 классах – 12-13 баллов (обе моды соответствуют низкому уровню </w:t>
      </w:r>
      <w:proofErr w:type="spellStart"/>
      <w:r w:rsidRPr="00B51F95">
        <w:rPr>
          <w:rFonts w:ascii="Liberation Serif" w:hAnsi="Liberation Serif" w:cs="Liberation Serif"/>
          <w:sz w:val="28"/>
          <w:szCs w:val="28"/>
        </w:rPr>
        <w:t>сформированности</w:t>
      </w:r>
      <w:proofErr w:type="spellEnd"/>
      <w:r w:rsidRPr="00B51F95">
        <w:rPr>
          <w:rFonts w:ascii="Liberation Serif" w:hAnsi="Liberation Serif" w:cs="Liberation Serif"/>
          <w:sz w:val="28"/>
          <w:szCs w:val="28"/>
        </w:rPr>
        <w:t xml:space="preserve"> функциональной грамотности);</w:t>
      </w:r>
    </w:p>
    <w:p w:rsidR="00B91149" w:rsidRPr="00B51F95" w:rsidRDefault="00B91149" w:rsidP="00B91149">
      <w:pPr>
        <w:widowControl w:val="0"/>
        <w:numPr>
          <w:ilvl w:val="0"/>
          <w:numId w:val="3"/>
        </w:numPr>
        <w:tabs>
          <w:tab w:val="left" w:pos="937"/>
        </w:tabs>
        <w:spacing w:after="200" w:line="322" w:lineRule="exact"/>
        <w:ind w:left="20" w:right="20"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 xml:space="preserve">средний результат выполнения работы составил </w:t>
      </w:r>
      <w:r w:rsidRPr="00B51F95">
        <w:rPr>
          <w:rFonts w:ascii="Liberation Serif" w:hAnsi="Liberation Serif" w:cs="Liberation Serif"/>
          <w:b/>
          <w:sz w:val="28"/>
          <w:szCs w:val="28"/>
        </w:rPr>
        <w:t>37,6%</w:t>
      </w:r>
      <w:r w:rsidRPr="00B51F95">
        <w:rPr>
          <w:rFonts w:ascii="Liberation Serif" w:hAnsi="Liberation Serif" w:cs="Liberation Serif"/>
          <w:sz w:val="28"/>
          <w:szCs w:val="28"/>
        </w:rPr>
        <w:t xml:space="preserve"> в 4 классах и </w:t>
      </w:r>
      <w:r w:rsidRPr="00B51F95">
        <w:rPr>
          <w:rFonts w:ascii="Liberation Serif" w:hAnsi="Liberation Serif" w:cs="Liberation Serif"/>
          <w:b/>
          <w:sz w:val="28"/>
          <w:szCs w:val="28"/>
        </w:rPr>
        <w:t>30,6%</w:t>
      </w:r>
      <w:r w:rsidRPr="00B51F95">
        <w:rPr>
          <w:rFonts w:ascii="Liberation Serif" w:hAnsi="Liberation Serif" w:cs="Liberation Serif"/>
          <w:sz w:val="28"/>
          <w:szCs w:val="28"/>
        </w:rPr>
        <w:t xml:space="preserve"> в 8 классах (оба средних значения соответствуют низкому уровню </w:t>
      </w:r>
      <w:proofErr w:type="spellStart"/>
      <w:r w:rsidRPr="00B51F95">
        <w:rPr>
          <w:rFonts w:ascii="Liberation Serif" w:hAnsi="Liberation Serif" w:cs="Liberation Serif"/>
          <w:sz w:val="28"/>
          <w:szCs w:val="28"/>
        </w:rPr>
        <w:t>сформированности</w:t>
      </w:r>
      <w:proofErr w:type="spellEnd"/>
      <w:r w:rsidRPr="00B51F95">
        <w:rPr>
          <w:rFonts w:ascii="Liberation Serif" w:hAnsi="Liberation Serif" w:cs="Liberation Serif"/>
          <w:sz w:val="28"/>
          <w:szCs w:val="28"/>
        </w:rPr>
        <w:t xml:space="preserve"> функциональной грамотности);</w:t>
      </w:r>
    </w:p>
    <w:p w:rsidR="00B91149" w:rsidRPr="00B51F95" w:rsidRDefault="00B91149" w:rsidP="00B91149">
      <w:pPr>
        <w:widowControl w:val="0"/>
        <w:numPr>
          <w:ilvl w:val="0"/>
          <w:numId w:val="3"/>
        </w:numPr>
        <w:tabs>
          <w:tab w:val="left" w:pos="908"/>
        </w:tabs>
        <w:spacing w:after="200" w:line="322" w:lineRule="exact"/>
        <w:ind w:left="20" w:right="20"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>значение медианы в обоих случаях (в 4 классе - 14,9 баллов, в 8 классе - 12,0 балла) соответствует низкому уровню функциональной грамотности.</w:t>
      </w:r>
    </w:p>
    <w:p w:rsidR="00B91149" w:rsidRPr="00B51F95" w:rsidRDefault="00B91149" w:rsidP="00B91149">
      <w:pPr>
        <w:widowControl w:val="0"/>
        <w:spacing w:after="244" w:line="322" w:lineRule="exact"/>
        <w:ind w:right="20" w:firstLine="20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>Визуально в обоих распределениях наблюдается правый скос, что свидетельствует о большом количестве результатов в левой части гистограммы, то есть в области низких результатов.</w:t>
      </w:r>
    </w:p>
    <w:p w:rsidR="00B91149" w:rsidRPr="00B51F95" w:rsidRDefault="00B91149" w:rsidP="00B91149">
      <w:pPr>
        <w:widowControl w:val="0"/>
        <w:spacing w:line="317" w:lineRule="exact"/>
        <w:ind w:right="2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>В среднем учащиеся 4 и 8 классов выполнили верно порядка трети заданий диагностической работы.</w:t>
      </w:r>
    </w:p>
    <w:p w:rsidR="00B91149" w:rsidRPr="00B51F95" w:rsidRDefault="00B91149" w:rsidP="00B91149">
      <w:pPr>
        <w:widowControl w:val="0"/>
        <w:spacing w:line="322" w:lineRule="exact"/>
        <w:ind w:right="2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1F95">
        <w:rPr>
          <w:rFonts w:ascii="Liberation Serif" w:hAnsi="Liberation Serif" w:cs="Liberation Serif"/>
          <w:sz w:val="28"/>
          <w:szCs w:val="28"/>
        </w:rPr>
        <w:t xml:space="preserve">Следует отметить, что 29,25% участников в 4 классах и 41,22% участников в 8 классах продемонстрировали уровень функциональной грамотности ниже среднего. При этом лишь 0,68% участников в 4 классах и 0% участников в 8 классах продемонстрировали высокий уровень функциональной грамотности, а 20,41% участников в 4 классах и 20,41% участников в 8 классах продемонстрировали недостаточный уровень, то есть функциональную неграмотность. </w:t>
      </w: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lang w:eastAsia="en-US"/>
        </w:rPr>
        <w:t>Соответствие количества первичных баллов уровням функциональной грамотности (4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B91149" w:rsidRPr="00B51F95" w:rsidTr="001C16C4">
        <w:trPr>
          <w:trHeight w:hRule="exact" w:val="896"/>
        </w:trPr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количество баллов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Уровень функциональной грамотности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количество учащихся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%</w:t>
            </w:r>
          </w:p>
        </w:tc>
      </w:tr>
      <w:tr w:rsidR="00B91149" w:rsidRPr="00B51F95" w:rsidTr="001C16C4">
        <w:trPr>
          <w:trHeight w:hRule="exact" w:val="288"/>
        </w:trPr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0-8 баллов</w:t>
            </w:r>
          </w:p>
        </w:tc>
        <w:tc>
          <w:tcPr>
            <w:tcW w:w="1250" w:type="pct"/>
            <w:shd w:val="clear" w:color="auto" w:fill="FF0000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FFFFF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color w:val="FFFFFF"/>
                <w:sz w:val="22"/>
                <w:szCs w:val="22"/>
              </w:rPr>
              <w:t>Недостаточный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20,41</w:t>
            </w:r>
          </w:p>
        </w:tc>
      </w:tr>
      <w:tr w:rsidR="00B91149" w:rsidRPr="00B51F95" w:rsidTr="001C16C4">
        <w:trPr>
          <w:trHeight w:hRule="exact" w:val="283"/>
        </w:trPr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9-14 баллов</w:t>
            </w:r>
          </w:p>
        </w:tc>
        <w:tc>
          <w:tcPr>
            <w:tcW w:w="1250" w:type="pct"/>
            <w:shd w:val="clear" w:color="auto" w:fill="8DB3E2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</w:rPr>
              <w:t>Низкий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29,25</w:t>
            </w:r>
          </w:p>
        </w:tc>
      </w:tr>
      <w:tr w:rsidR="00B91149" w:rsidRPr="00B51F95" w:rsidTr="001C16C4">
        <w:trPr>
          <w:trHeight w:hRule="exact" w:val="288"/>
        </w:trPr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15-22 балла</w:t>
            </w:r>
          </w:p>
        </w:tc>
        <w:tc>
          <w:tcPr>
            <w:tcW w:w="1250" w:type="pct"/>
            <w:shd w:val="clear" w:color="auto" w:fill="CCC0D9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</w:rPr>
              <w:t>Средний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29,93</w:t>
            </w:r>
          </w:p>
        </w:tc>
      </w:tr>
      <w:tr w:rsidR="00B91149" w:rsidRPr="00B51F95" w:rsidTr="001C16C4">
        <w:trPr>
          <w:trHeight w:hRule="exact" w:val="283"/>
        </w:trPr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23-31 балл</w:t>
            </w:r>
          </w:p>
        </w:tc>
        <w:tc>
          <w:tcPr>
            <w:tcW w:w="1250" w:type="pct"/>
            <w:shd w:val="clear" w:color="auto" w:fill="C2D69B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sz w:val="22"/>
                <w:szCs w:val="22"/>
              </w:rPr>
              <w:t>Повышенный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19,73</w:t>
            </w:r>
          </w:p>
        </w:tc>
      </w:tr>
      <w:tr w:rsidR="00B91149" w:rsidRPr="00B51F95" w:rsidTr="001C16C4">
        <w:trPr>
          <w:trHeight w:hRule="exact" w:val="298"/>
        </w:trPr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32-41 балл</w:t>
            </w:r>
          </w:p>
        </w:tc>
        <w:tc>
          <w:tcPr>
            <w:tcW w:w="1250" w:type="pct"/>
            <w:shd w:val="clear" w:color="auto" w:fill="E36C0A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b/>
                <w:color w:val="FFFFF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color w:val="FFFFFF"/>
                <w:sz w:val="22"/>
                <w:szCs w:val="22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0,68</w:t>
            </w:r>
          </w:p>
        </w:tc>
      </w:tr>
    </w:tbl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93407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lang w:eastAsia="en-US"/>
        </w:rPr>
        <w:t>Соответствие количества первичных баллов уровням функциональной грамотности (8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B91149" w:rsidRPr="00B51F95" w:rsidTr="001C16C4">
        <w:trPr>
          <w:trHeight w:hRule="exact" w:val="1013"/>
        </w:trPr>
        <w:tc>
          <w:tcPr>
            <w:tcW w:w="1249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Количество первичных баллов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Уровень функциональной грамотности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количество учащихся</w:t>
            </w:r>
          </w:p>
        </w:tc>
        <w:tc>
          <w:tcPr>
            <w:tcW w:w="1250" w:type="pct"/>
            <w:shd w:val="clear" w:color="auto" w:fill="F2F2F2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%</w:t>
            </w:r>
          </w:p>
        </w:tc>
      </w:tr>
      <w:tr w:rsidR="00B91149" w:rsidRPr="00B51F95" w:rsidTr="001C16C4">
        <w:trPr>
          <w:trHeight w:hRule="exact" w:val="288"/>
        </w:trPr>
        <w:tc>
          <w:tcPr>
            <w:tcW w:w="1249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0-7 баллов</w:t>
            </w:r>
          </w:p>
        </w:tc>
        <w:tc>
          <w:tcPr>
            <w:tcW w:w="1250" w:type="pct"/>
            <w:shd w:val="clear" w:color="auto" w:fill="FF0000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Недостаточный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20,41</w:t>
            </w:r>
          </w:p>
        </w:tc>
      </w:tr>
      <w:tr w:rsidR="00B91149" w:rsidRPr="00B51F95" w:rsidTr="001C16C4">
        <w:trPr>
          <w:trHeight w:hRule="exact" w:val="283"/>
        </w:trPr>
        <w:tc>
          <w:tcPr>
            <w:tcW w:w="1249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8-13 баллов</w:t>
            </w:r>
          </w:p>
        </w:tc>
        <w:tc>
          <w:tcPr>
            <w:tcW w:w="1250" w:type="pct"/>
            <w:shd w:val="clear" w:color="auto" w:fill="C6D9F1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Низкий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41,22</w:t>
            </w:r>
          </w:p>
        </w:tc>
      </w:tr>
      <w:tr w:rsidR="00B91149" w:rsidRPr="00B51F95" w:rsidTr="001C16C4">
        <w:trPr>
          <w:trHeight w:hRule="exact" w:val="288"/>
        </w:trPr>
        <w:tc>
          <w:tcPr>
            <w:tcW w:w="1249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14-21 балл</w:t>
            </w:r>
          </w:p>
        </w:tc>
        <w:tc>
          <w:tcPr>
            <w:tcW w:w="1250" w:type="pct"/>
            <w:shd w:val="clear" w:color="auto" w:fill="B2A1C7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Средний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31,02</w:t>
            </w:r>
          </w:p>
        </w:tc>
      </w:tr>
      <w:tr w:rsidR="00B91149" w:rsidRPr="00B51F95" w:rsidTr="001C16C4">
        <w:trPr>
          <w:trHeight w:hRule="exact" w:val="283"/>
        </w:trPr>
        <w:tc>
          <w:tcPr>
            <w:tcW w:w="1249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22-31 балл</w:t>
            </w:r>
          </w:p>
        </w:tc>
        <w:tc>
          <w:tcPr>
            <w:tcW w:w="1250" w:type="pct"/>
            <w:shd w:val="clear" w:color="auto" w:fill="C2D69B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Повышенный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7,35</w:t>
            </w:r>
          </w:p>
        </w:tc>
      </w:tr>
      <w:tr w:rsidR="00B91149" w:rsidRPr="00B51F95" w:rsidTr="001C16C4">
        <w:trPr>
          <w:trHeight w:hRule="exact" w:val="298"/>
        </w:trPr>
        <w:tc>
          <w:tcPr>
            <w:tcW w:w="1249" w:type="pct"/>
            <w:shd w:val="clear" w:color="auto" w:fill="auto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32-39 баллов</w:t>
            </w:r>
          </w:p>
        </w:tc>
        <w:tc>
          <w:tcPr>
            <w:tcW w:w="1250" w:type="pct"/>
            <w:shd w:val="clear" w:color="auto" w:fill="E36C0A"/>
          </w:tcPr>
          <w:p w:rsidR="00B91149" w:rsidRPr="00B51F95" w:rsidRDefault="00B91149" w:rsidP="001C16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50" w:type="pct"/>
            <w:shd w:val="clear" w:color="auto" w:fill="auto"/>
          </w:tcPr>
          <w:p w:rsidR="00B91149" w:rsidRPr="00B51F95" w:rsidRDefault="00B91149" w:rsidP="001C16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1F95">
              <w:rPr>
                <w:rFonts w:ascii="Liberation Serif" w:hAnsi="Liberation Serif" w:cs="Liberation Serif"/>
                <w:sz w:val="22"/>
                <w:szCs w:val="22"/>
              </w:rPr>
              <w:t>0,00</w:t>
            </w:r>
          </w:p>
        </w:tc>
      </w:tr>
    </w:tbl>
    <w:p w:rsidR="00B91149" w:rsidRPr="00B51F95" w:rsidRDefault="00B91149" w:rsidP="00B91149">
      <w:pPr>
        <w:tabs>
          <w:tab w:val="left" w:pos="3000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tabs>
          <w:tab w:val="left" w:pos="3000"/>
        </w:tabs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934075" cy="2381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49" w:rsidRPr="00B51F95" w:rsidRDefault="00B91149" w:rsidP="00B91149">
      <w:pPr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В НТГО целью по оценке функциональной грамотности является проведение исследования </w:t>
      </w:r>
      <w:proofErr w:type="spell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сформированности</w:t>
      </w:r>
      <w:proofErr w:type="spell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функциональной грамотности обучающихся 4, 5, 8 классов общеобразовательных организаций.</w:t>
      </w:r>
      <w:r w:rsidRPr="00B51F95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</w:t>
      </w: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Выполнение приказа Управления образования администрации </w:t>
      </w:r>
      <w:proofErr w:type="spell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городского округа от 16.09.2021 № 164 «Об утверждении плана мероприятий по формированию и оценке функциональной грамотности обучающихся общеобразовательных организаций </w:t>
      </w:r>
      <w:proofErr w:type="spell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городского округа на 2021-2022 учебный год»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Цели по обеспечению объективности процедур оценки качества образования и Всероссийской олимпиады школьников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B91149" w:rsidRPr="00B51F95" w:rsidRDefault="00B91149" w:rsidP="00B91149">
      <w:pPr>
        <w:ind w:firstLine="56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 утверждено положение о мониторинге региональных показателей системы объективности процедур оценки качества образования и олимпиад школьников в рамках реализации направления «Система объективности процедур оценки качества образования и олимпиад школьников» Региональной системы оценки качества образования в Свердловской области (далее - мониторинг). Также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 от 29.06.2020 №1 утвержден комплекс мер по реализации системы объективности процедур оценки качества образования и олимпиад школьников (далее - комплекс мер). </w:t>
      </w:r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На муниципальном и школьном уровне выполняются приказы Управления образования администрации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от 30.12.2020 № 271»Об утверждении Положения о мониторинге системы объективности процедур оценки качества образования и олимпиад школьников на территории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округа», от 30.12.2020 № 269 «Об утверждении Плана мероприятий по формированию позитивного отношения к объективности оценивания образовательных результатов в муниципальных общеобразовательных организациях, подведомственных Управлению образования администрации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округа», от 30.12.2019 № 237 «Об утверждении программы повышения объективности оценки образовательных результатов в образовательных организациях </w:t>
      </w:r>
      <w:proofErr w:type="spellStart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округа».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proofErr w:type="spell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Муниципальльной</w:t>
      </w:r>
      <w:proofErr w:type="spell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и </w:t>
      </w:r>
      <w:proofErr w:type="gramStart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школьной  целью</w:t>
      </w:r>
      <w:proofErr w:type="gramEnd"/>
      <w:r w:rsidRPr="00B51F95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по обеспечению объективности процедур оценки качества образования и Всероссийской олимпиады школьников в 2021 году является определение «сильных» и «слабых» направлений деятельности в сфере обеспечения объективности процедур оценки качества образования и олимпиад на основе данных проведенного мониторинга, а также реализация комплекса мер.</w:t>
      </w:r>
    </w:p>
    <w:p w:rsidR="00B91149" w:rsidRPr="00B51F95" w:rsidRDefault="00B91149" w:rsidP="00B91149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91149" w:rsidRPr="00B51F95" w:rsidRDefault="00B91149" w:rsidP="00B91149">
      <w:pPr>
        <w:numPr>
          <w:ilvl w:val="0"/>
          <w:numId w:val="1"/>
        </w:numPr>
        <w:spacing w:after="200" w:line="276" w:lineRule="auto"/>
        <w:jc w:val="both"/>
        <w:rPr>
          <w:rFonts w:ascii="Liberation Serif" w:eastAsia="Calibri" w:hAnsi="Liberation Serif" w:cs="Liberation Serif"/>
          <w:b/>
          <w:i/>
          <w:color w:val="000000"/>
          <w:sz w:val="28"/>
          <w:szCs w:val="28"/>
          <w:lang w:eastAsia="en-US"/>
        </w:rPr>
      </w:pPr>
      <w:r w:rsidRPr="00B51F95">
        <w:rPr>
          <w:rFonts w:ascii="Liberation Serif" w:eastAsia="Calibri" w:hAnsi="Liberation Serif" w:cs="Liberation Serif"/>
          <w:b/>
          <w:i/>
          <w:color w:val="000000"/>
          <w:sz w:val="28"/>
          <w:szCs w:val="28"/>
          <w:lang w:eastAsia="en-US"/>
        </w:rPr>
        <w:t>Цели по повышению уровня образовательных результатов в регионе на основе анализа результатов Национальных исследований качества образования и международных сопоставительных исследований в сфере образования.</w:t>
      </w:r>
    </w:p>
    <w:p w:rsidR="0086707E" w:rsidRDefault="00B91149" w:rsidP="00B91149">
      <w:pPr>
        <w:jc w:val="both"/>
      </w:pPr>
      <w:r w:rsidRPr="00B51F9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- повышение уровня образовательных результатов на основе анализа результатов Национальных исследований качества образования и международных сопоставительных исследований в сфере образования. </w:t>
      </w:r>
    </w:p>
    <w:sectPr w:rsidR="0086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08AA"/>
    <w:multiLevelType w:val="hybridMultilevel"/>
    <w:tmpl w:val="2C9A944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3C7697"/>
    <w:multiLevelType w:val="hybridMultilevel"/>
    <w:tmpl w:val="9EA6C306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241341"/>
    <w:multiLevelType w:val="hybridMultilevel"/>
    <w:tmpl w:val="0F7AFF8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2FA28C4">
      <w:numFmt w:val="bullet"/>
      <w:lvlText w:val="•"/>
      <w:lvlJc w:val="left"/>
      <w:pPr>
        <w:ind w:left="2884" w:hanging="1095"/>
      </w:pPr>
      <w:rPr>
        <w:rFonts w:ascii="Liberation Serif" w:eastAsia="Calibri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686AF0"/>
    <w:multiLevelType w:val="hybridMultilevel"/>
    <w:tmpl w:val="9C6458B6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C5A7A"/>
    <w:multiLevelType w:val="multilevel"/>
    <w:tmpl w:val="8CC49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7B40F6"/>
    <w:multiLevelType w:val="hybridMultilevel"/>
    <w:tmpl w:val="D2F0E272"/>
    <w:lvl w:ilvl="0" w:tplc="20E2E4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ED390F"/>
    <w:multiLevelType w:val="hybridMultilevel"/>
    <w:tmpl w:val="9DB49FBC"/>
    <w:lvl w:ilvl="0" w:tplc="277283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07"/>
    <w:rsid w:val="001F0407"/>
    <w:rsid w:val="00411188"/>
    <w:rsid w:val="0086707E"/>
    <w:rsid w:val="00B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9CF8"/>
  <w15:chartTrackingRefBased/>
  <w15:docId w15:val="{05511568-686F-45A3-96BB-B1D1C54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3801</Words>
  <Characters>21670</Characters>
  <Application>Microsoft Office Word</Application>
  <DocSecurity>0</DocSecurity>
  <Lines>180</Lines>
  <Paragraphs>50</Paragraphs>
  <ScaleCrop>false</ScaleCrop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2022-01-18T06:42:00Z</dcterms:created>
  <dcterms:modified xsi:type="dcterms:W3CDTF">2022-01-18T07:53:00Z</dcterms:modified>
</cp:coreProperties>
</file>